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D9376D" w:rsidRPr="00D9376D" w:rsidRDefault="00F525C2" w:rsidP="00D9376D">
      <w:pPr>
        <w:spacing w:after="0" w:line="240" w:lineRule="auto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381125" cy="952500"/>
            <wp:effectExtent l="19050" t="0" r="9525" b="0"/>
            <wp:docPr id="4" name="Imagen 3" descr="ascons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consu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1076" t="61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376D" w:rsidRDefault="00D9376D" w:rsidP="00D9376D">
      <w:pPr>
        <w:spacing w:after="0" w:line="240" w:lineRule="auto"/>
        <w:rPr>
          <w:b/>
          <w:noProof/>
          <w:color w:val="0033CC"/>
          <w:sz w:val="28"/>
          <w:szCs w:val="28"/>
        </w:rPr>
      </w:pPr>
    </w:p>
    <w:p w:rsidR="0036032D" w:rsidRPr="00CD50AF" w:rsidRDefault="00FD211B" w:rsidP="00CD50AF">
      <w:pPr>
        <w:spacing w:after="0" w:line="240" w:lineRule="auto"/>
        <w:jc w:val="right"/>
        <w:rPr>
          <w:b/>
          <w:noProof/>
          <w:color w:val="0033CC"/>
          <w:sz w:val="28"/>
          <w:szCs w:val="28"/>
        </w:rPr>
      </w:pPr>
      <w:r>
        <w:rPr>
          <w:b/>
          <w:noProof/>
          <w:color w:val="0033CC"/>
          <w:sz w:val="28"/>
          <w:szCs w:val="28"/>
        </w:rPr>
        <w:t>INFORMACIÓN EMPRESARIAL ESTRATÉGICA</w:t>
      </w:r>
    </w:p>
    <w:p w:rsidR="002959B8" w:rsidRPr="0027477C" w:rsidRDefault="00D9376D" w:rsidP="00F23EF6">
      <w:pPr>
        <w:spacing w:after="0" w:line="240" w:lineRule="auto"/>
        <w:rPr>
          <w:i/>
          <w:noProof/>
          <w:color w:val="31849B" w:themeColor="accent5" w:themeShade="BF"/>
          <w:sz w:val="24"/>
          <w:szCs w:val="24"/>
        </w:rPr>
      </w:pPr>
      <w:r w:rsidRPr="0027477C">
        <w:rPr>
          <w:i/>
          <w:noProof/>
          <w:color w:val="31849B" w:themeColor="accent5" w:themeShade="BF"/>
          <w:sz w:val="24"/>
          <w:szCs w:val="24"/>
        </w:rPr>
        <w:t>Un artículo interesante para todos, especialmente empresarios y consultores</w:t>
      </w:r>
    </w:p>
    <w:p w:rsidR="00F525C2" w:rsidRDefault="00F525C2" w:rsidP="00CB043C">
      <w:pPr>
        <w:spacing w:after="0" w:line="240" w:lineRule="auto"/>
        <w:rPr>
          <w:b/>
          <w:noProof/>
          <w:sz w:val="28"/>
          <w:szCs w:val="28"/>
        </w:rPr>
      </w:pPr>
    </w:p>
    <w:p w:rsidR="00BE2B20" w:rsidRPr="00BE2B20" w:rsidRDefault="002959B8" w:rsidP="00BE2B20">
      <w:pPr>
        <w:spacing w:after="0" w:line="240" w:lineRule="auto"/>
        <w:rPr>
          <w:i/>
          <w:sz w:val="28"/>
          <w:szCs w:val="28"/>
          <w:lang w:val="es-ES"/>
        </w:rPr>
      </w:pPr>
      <w:r>
        <w:rPr>
          <w:noProof/>
          <w:color w:val="0033C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E1366D" wp14:editId="1AF1D9CD">
                <wp:simplePos x="0" y="0"/>
                <wp:positionH relativeFrom="column">
                  <wp:posOffset>1035050</wp:posOffset>
                </wp:positionH>
                <wp:positionV relativeFrom="paragraph">
                  <wp:posOffset>528955</wp:posOffset>
                </wp:positionV>
                <wp:extent cx="495300" cy="323850"/>
                <wp:effectExtent l="0" t="19050" r="38100" b="381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23850"/>
                        </a:xfrm>
                        <a:prstGeom prst="striped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2" o:spid="_x0000_s1026" type="#_x0000_t93" style="position:absolute;margin-left:81.5pt;margin-top:41.65pt;width:39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" adj="14502"/>
            </w:pict>
          </mc:Fallback>
        </mc:AlternateContent>
      </w:r>
      <w:r w:rsidR="00D9376D">
        <w:rPr>
          <w:i/>
          <w:noProof/>
          <w:sz w:val="28"/>
          <w:szCs w:val="28"/>
        </w:rPr>
        <w:drawing>
          <wp:inline distT="0" distB="0" distL="0" distR="0">
            <wp:extent cx="5638800" cy="1304925"/>
            <wp:effectExtent l="0" t="19050" r="0" b="9525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E03AE2" w:rsidRDefault="00E03AE2" w:rsidP="00E03AE2">
      <w:pPr>
        <w:spacing w:after="0" w:line="240" w:lineRule="auto"/>
        <w:jc w:val="both"/>
        <w:rPr>
          <w:b/>
          <w:sz w:val="28"/>
          <w:szCs w:val="28"/>
          <w:lang w:val="es-ES"/>
        </w:rPr>
      </w:pPr>
    </w:p>
    <w:p w:rsidR="00E03AE2" w:rsidRPr="00FC61CF" w:rsidRDefault="00FD211B" w:rsidP="00FD211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color w:val="0070C0"/>
          <w:sz w:val="20"/>
          <w:szCs w:val="20"/>
          <w:lang w:val="es-ES"/>
        </w:rPr>
      </w:pPr>
      <w:r w:rsidRPr="00FC61CF">
        <w:rPr>
          <w:b/>
          <w:color w:val="0070C0"/>
          <w:sz w:val="20"/>
          <w:szCs w:val="20"/>
          <w:lang w:val="es-ES"/>
        </w:rPr>
        <w:t>GRUPO EMPRESARIAL</w:t>
      </w:r>
    </w:p>
    <w:p w:rsidR="00BE2B20" w:rsidRPr="00FC61CF" w:rsidRDefault="00741D90" w:rsidP="00E707EB">
      <w:pPr>
        <w:spacing w:after="0" w:line="240" w:lineRule="auto"/>
        <w:ind w:left="708"/>
        <w:jc w:val="both"/>
        <w:rPr>
          <w:sz w:val="20"/>
          <w:szCs w:val="20"/>
          <w:lang w:val="es-ES"/>
        </w:rPr>
      </w:pPr>
      <w:r w:rsidRPr="00FC61CF">
        <w:rPr>
          <w:sz w:val="20"/>
          <w:szCs w:val="20"/>
          <w:lang w:val="es-ES"/>
        </w:rPr>
        <w:t xml:space="preserve">Se configura grupo empresarial, cuando además del vínculo de subordinación establecido por </w:t>
      </w:r>
      <w:r w:rsidR="00FD211B" w:rsidRPr="00FC61CF">
        <w:rPr>
          <w:sz w:val="20"/>
          <w:szCs w:val="20"/>
          <w:lang w:val="es-ES"/>
        </w:rPr>
        <w:t>La Ley 222 de 1995 en sus Artículos 26, 27 y 28</w:t>
      </w:r>
      <w:r w:rsidRPr="00FC61CF">
        <w:rPr>
          <w:sz w:val="20"/>
          <w:szCs w:val="20"/>
          <w:lang w:val="es-ES"/>
        </w:rPr>
        <w:t xml:space="preserve">, exista entre las entidades unidad de propósito y dirección. </w:t>
      </w:r>
      <w:r w:rsidR="00FD211B" w:rsidRPr="00FC61CF">
        <w:rPr>
          <w:sz w:val="20"/>
          <w:szCs w:val="20"/>
          <w:lang w:val="es-ES"/>
        </w:rPr>
        <w:t xml:space="preserve">  El Artículo 30 de esta misma Ley e</w:t>
      </w:r>
      <w:r w:rsidR="00E707EB" w:rsidRPr="00FC61CF">
        <w:rPr>
          <w:sz w:val="20"/>
          <w:szCs w:val="20"/>
          <w:lang w:val="es-ES"/>
        </w:rPr>
        <w:t xml:space="preserve">xige que </w:t>
      </w:r>
      <w:r w:rsidR="00EF36B9" w:rsidRPr="00FC61CF">
        <w:rPr>
          <w:sz w:val="20"/>
          <w:szCs w:val="20"/>
          <w:lang w:val="es-ES"/>
        </w:rPr>
        <w:t>cuando se configure una situación de control, la sociedad controlante lo hará constar en un documento privado que deberá presentar para su inscripción en el registro mercantil</w:t>
      </w:r>
      <w:r w:rsidR="00FD211B" w:rsidRPr="00FC61CF">
        <w:rPr>
          <w:sz w:val="20"/>
          <w:szCs w:val="20"/>
          <w:lang w:val="es-ES"/>
        </w:rPr>
        <w:t>.</w:t>
      </w:r>
      <w:r w:rsidRPr="00FC61CF">
        <w:rPr>
          <w:sz w:val="20"/>
          <w:szCs w:val="20"/>
          <w:lang w:val="es-ES"/>
        </w:rPr>
        <w:t xml:space="preserve"> Los Artículos 26 y 27 fueron incorporados al Código de Comercio como Artículos 260 y 261. En éstos se define qué es subordinación y presunciones de subordinación.</w:t>
      </w:r>
    </w:p>
    <w:p w:rsidR="00E707EB" w:rsidRPr="00FC61CF" w:rsidRDefault="00E707EB" w:rsidP="00FD211B">
      <w:pPr>
        <w:spacing w:after="0" w:line="240" w:lineRule="auto"/>
        <w:ind w:left="360"/>
        <w:jc w:val="both"/>
        <w:rPr>
          <w:sz w:val="20"/>
          <w:szCs w:val="20"/>
          <w:lang w:val="es-ES"/>
        </w:rPr>
      </w:pPr>
    </w:p>
    <w:p w:rsidR="00E03AE2" w:rsidRPr="00FC61CF" w:rsidRDefault="00E707EB" w:rsidP="00E707E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color w:val="0070C0"/>
          <w:sz w:val="20"/>
          <w:szCs w:val="20"/>
          <w:lang w:val="es-ES"/>
        </w:rPr>
      </w:pPr>
      <w:r w:rsidRPr="00FC61CF">
        <w:rPr>
          <w:b/>
          <w:color w:val="0070C0"/>
          <w:sz w:val="20"/>
          <w:szCs w:val="20"/>
          <w:lang w:val="es-ES"/>
        </w:rPr>
        <w:t>SOCIEDADES VIGILADAS</w:t>
      </w:r>
    </w:p>
    <w:p w:rsidR="00E707EB" w:rsidRPr="00FC61CF" w:rsidRDefault="00E707EB" w:rsidP="00C90A7E">
      <w:pPr>
        <w:pStyle w:val="Prrafodelista"/>
        <w:spacing w:after="0" w:line="240" w:lineRule="auto"/>
        <w:jc w:val="both"/>
        <w:rPr>
          <w:sz w:val="20"/>
          <w:szCs w:val="20"/>
          <w:lang w:val="es-ES"/>
        </w:rPr>
      </w:pPr>
      <w:r w:rsidRPr="00FC61CF">
        <w:rPr>
          <w:sz w:val="20"/>
          <w:szCs w:val="20"/>
          <w:lang w:val="es-ES"/>
        </w:rPr>
        <w:t>Las sociedades entran a vigilancia de la Superintendencia de Sociedades, cuando, tanto sus activos como ingresos totales excedan de 30.000 Salarios mínimos legales mensuales vigentes (SMLMV). Esta obligación está contemplada en la Ley 2</w:t>
      </w:r>
      <w:r w:rsidR="00C90A7E" w:rsidRPr="00FC61CF">
        <w:rPr>
          <w:sz w:val="20"/>
          <w:szCs w:val="20"/>
          <w:lang w:val="es-ES"/>
        </w:rPr>
        <w:t>22 de 1995, Artículos 84 y s.s.</w:t>
      </w:r>
      <w:r w:rsidR="00EF36B9" w:rsidRPr="00FC61CF">
        <w:rPr>
          <w:sz w:val="20"/>
          <w:szCs w:val="20"/>
          <w:lang w:val="es-ES"/>
        </w:rPr>
        <w:t>, que</w:t>
      </w:r>
      <w:r w:rsidRPr="00FC61CF">
        <w:rPr>
          <w:sz w:val="20"/>
          <w:szCs w:val="20"/>
          <w:lang w:val="es-ES"/>
        </w:rPr>
        <w:t xml:space="preserve"> fue reglamentada por el Decreto 4350 de 2006, especialmente su Artículo 1º.</w:t>
      </w:r>
    </w:p>
    <w:p w:rsidR="00E707EB" w:rsidRPr="00FC61CF" w:rsidRDefault="00E707EB" w:rsidP="00E707EB">
      <w:pPr>
        <w:pStyle w:val="Prrafodelista"/>
        <w:spacing w:after="0" w:line="240" w:lineRule="auto"/>
        <w:jc w:val="both"/>
        <w:rPr>
          <w:sz w:val="20"/>
          <w:szCs w:val="20"/>
          <w:lang w:val="es-ES"/>
        </w:rPr>
      </w:pPr>
    </w:p>
    <w:p w:rsidR="00E707EB" w:rsidRPr="00FC61CF" w:rsidRDefault="00E707EB" w:rsidP="00E707E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color w:val="0070C0"/>
          <w:sz w:val="20"/>
          <w:szCs w:val="20"/>
          <w:lang w:val="es-ES"/>
        </w:rPr>
      </w:pPr>
      <w:r w:rsidRPr="00FC61CF">
        <w:rPr>
          <w:b/>
          <w:color w:val="0070C0"/>
          <w:sz w:val="20"/>
          <w:szCs w:val="20"/>
          <w:lang w:val="es-ES"/>
        </w:rPr>
        <w:t>ESCISIÓN</w:t>
      </w:r>
    </w:p>
    <w:p w:rsidR="00C93266" w:rsidRPr="00FC61CF" w:rsidRDefault="00C93266" w:rsidP="00C93266">
      <w:pPr>
        <w:pStyle w:val="Prrafodelista"/>
        <w:spacing w:after="0" w:line="240" w:lineRule="auto"/>
        <w:jc w:val="both"/>
        <w:rPr>
          <w:sz w:val="20"/>
          <w:szCs w:val="20"/>
          <w:lang w:val="es-ES"/>
        </w:rPr>
      </w:pPr>
      <w:r w:rsidRPr="00FC61CF">
        <w:rPr>
          <w:sz w:val="20"/>
          <w:szCs w:val="20"/>
          <w:lang w:val="es-ES"/>
        </w:rPr>
        <w:t>Escindir es separar.  Habrá escisión cuando:</w:t>
      </w:r>
    </w:p>
    <w:p w:rsidR="002959B8" w:rsidRPr="00FC61CF" w:rsidRDefault="002959B8" w:rsidP="00C93266">
      <w:pPr>
        <w:pStyle w:val="Prrafodelista"/>
        <w:spacing w:after="0" w:line="240" w:lineRule="auto"/>
        <w:jc w:val="both"/>
        <w:rPr>
          <w:sz w:val="20"/>
          <w:szCs w:val="20"/>
          <w:lang w:val="es-ES"/>
        </w:rPr>
      </w:pPr>
    </w:p>
    <w:p w:rsidR="00C93266" w:rsidRPr="00FC61CF" w:rsidRDefault="00C93266" w:rsidP="00C9326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0"/>
          <w:szCs w:val="20"/>
          <w:lang w:val="es-ES"/>
        </w:rPr>
      </w:pPr>
      <w:r w:rsidRPr="00FC61CF">
        <w:rPr>
          <w:sz w:val="20"/>
          <w:szCs w:val="20"/>
          <w:lang w:val="es-ES"/>
        </w:rPr>
        <w:t>Una sociedad sin disolverse, transfiere en bloque una o varias partes de su patrimonio a una o más sociedades existentes o las destina a la creación de una o varias sociedades.</w:t>
      </w:r>
    </w:p>
    <w:p w:rsidR="002959B8" w:rsidRPr="00FC61CF" w:rsidRDefault="002959B8" w:rsidP="002959B8">
      <w:pPr>
        <w:pStyle w:val="Prrafodelista"/>
        <w:spacing w:after="0" w:line="240" w:lineRule="auto"/>
        <w:ind w:left="1080"/>
        <w:jc w:val="both"/>
        <w:rPr>
          <w:sz w:val="20"/>
          <w:szCs w:val="20"/>
          <w:lang w:val="es-ES"/>
        </w:rPr>
      </w:pPr>
    </w:p>
    <w:p w:rsidR="00C93266" w:rsidRPr="00FC61CF" w:rsidRDefault="00C93266" w:rsidP="00C9326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0"/>
          <w:szCs w:val="20"/>
          <w:lang w:val="es-ES"/>
        </w:rPr>
      </w:pPr>
      <w:r w:rsidRPr="00FC61CF">
        <w:rPr>
          <w:sz w:val="20"/>
          <w:szCs w:val="20"/>
          <w:lang w:val="es-ES"/>
        </w:rPr>
        <w:t>Una sociedad se disuelve sin liquidarse, dividiendo su patrimonio en dos o más partes, que se transfieren a varias sociedades existentes o se destinan a la creación de nuevas sociedades.</w:t>
      </w:r>
    </w:p>
    <w:p w:rsidR="00CD50AF" w:rsidRPr="00FC61CF" w:rsidRDefault="00C93266" w:rsidP="00C93266">
      <w:pPr>
        <w:spacing w:after="0" w:line="240" w:lineRule="auto"/>
        <w:ind w:left="708"/>
        <w:jc w:val="both"/>
        <w:rPr>
          <w:sz w:val="20"/>
          <w:szCs w:val="20"/>
          <w:lang w:val="es-ES"/>
        </w:rPr>
      </w:pPr>
      <w:r w:rsidRPr="00FC61CF">
        <w:rPr>
          <w:sz w:val="20"/>
          <w:szCs w:val="20"/>
          <w:lang w:val="es-ES"/>
        </w:rPr>
        <w:t>La escisión está regulada por la Ley 222 de 1995 en sus Artículos 3º y siguiente</w:t>
      </w:r>
      <w:r w:rsidR="00C90A7E" w:rsidRPr="00FC61CF">
        <w:rPr>
          <w:sz w:val="20"/>
          <w:szCs w:val="20"/>
          <w:lang w:val="es-ES"/>
        </w:rPr>
        <w:t>s</w:t>
      </w:r>
      <w:r w:rsidR="002959B8" w:rsidRPr="00FC61CF">
        <w:rPr>
          <w:sz w:val="20"/>
          <w:szCs w:val="20"/>
          <w:lang w:val="es-ES"/>
        </w:rPr>
        <w:t>.</w:t>
      </w:r>
    </w:p>
    <w:p w:rsidR="00CD50AF" w:rsidRPr="00FC61CF" w:rsidRDefault="00CD50AF" w:rsidP="00C93266">
      <w:pPr>
        <w:spacing w:after="0" w:line="240" w:lineRule="auto"/>
        <w:ind w:left="708"/>
        <w:jc w:val="both"/>
        <w:rPr>
          <w:sz w:val="20"/>
          <w:szCs w:val="20"/>
          <w:lang w:val="es-ES"/>
        </w:rPr>
      </w:pPr>
    </w:p>
    <w:p w:rsidR="00CD50AF" w:rsidRPr="00FC61CF" w:rsidRDefault="00CD50AF" w:rsidP="00C93266">
      <w:pPr>
        <w:spacing w:after="0" w:line="240" w:lineRule="auto"/>
        <w:ind w:left="708"/>
        <w:jc w:val="both"/>
        <w:rPr>
          <w:color w:val="0070C0"/>
          <w:sz w:val="20"/>
          <w:szCs w:val="20"/>
          <w:lang w:val="es-ES"/>
        </w:rPr>
      </w:pPr>
      <w:r w:rsidRPr="00FC61CF">
        <w:rPr>
          <w:color w:val="0070C0"/>
          <w:sz w:val="20"/>
          <w:szCs w:val="20"/>
          <w:lang w:val="es-ES"/>
        </w:rPr>
        <w:t>Tulio Tovar Narváez</w:t>
      </w:r>
    </w:p>
    <w:p w:rsidR="00CD50AF" w:rsidRPr="00FC61CF" w:rsidRDefault="00CD50AF" w:rsidP="00C93266">
      <w:pPr>
        <w:spacing w:after="0" w:line="240" w:lineRule="auto"/>
        <w:ind w:left="708"/>
        <w:jc w:val="both"/>
        <w:rPr>
          <w:color w:val="0070C0"/>
          <w:sz w:val="20"/>
          <w:szCs w:val="20"/>
          <w:lang w:val="es-ES"/>
        </w:rPr>
      </w:pPr>
      <w:r w:rsidRPr="00FC61CF">
        <w:rPr>
          <w:color w:val="0070C0"/>
          <w:sz w:val="20"/>
          <w:szCs w:val="20"/>
          <w:lang w:val="es-ES"/>
        </w:rPr>
        <w:t>Consultor Empresarial Certificado</w:t>
      </w:r>
    </w:p>
    <w:p w:rsidR="00EF36B9" w:rsidRPr="00FC61CF" w:rsidRDefault="00EF36B9" w:rsidP="00C93266">
      <w:pPr>
        <w:spacing w:after="0" w:line="240" w:lineRule="auto"/>
        <w:ind w:left="708"/>
        <w:jc w:val="both"/>
        <w:rPr>
          <w:color w:val="0070C0"/>
          <w:sz w:val="20"/>
          <w:szCs w:val="20"/>
          <w:lang w:val="es-ES"/>
        </w:rPr>
      </w:pPr>
      <w:r w:rsidRPr="00FC61CF">
        <w:rPr>
          <w:color w:val="0070C0"/>
          <w:sz w:val="20"/>
          <w:szCs w:val="20"/>
          <w:lang w:val="es-ES"/>
        </w:rPr>
        <w:t xml:space="preserve">Correo electrónico: </w:t>
      </w:r>
      <w:hyperlink r:id="rId12" w:history="1">
        <w:r w:rsidRPr="00FC61CF">
          <w:rPr>
            <w:rStyle w:val="Hipervnculo"/>
            <w:color w:val="0070C0"/>
            <w:sz w:val="20"/>
            <w:szCs w:val="20"/>
            <w:lang w:val="es-ES"/>
          </w:rPr>
          <w:t>ttovar94@gmail.com</w:t>
        </w:r>
      </w:hyperlink>
    </w:p>
    <w:p w:rsidR="00EF36B9" w:rsidRPr="00FC61CF" w:rsidRDefault="00137B8E" w:rsidP="00C93266">
      <w:pPr>
        <w:spacing w:after="0" w:line="240" w:lineRule="auto"/>
        <w:ind w:left="708"/>
        <w:jc w:val="both"/>
        <w:rPr>
          <w:color w:val="0070C0"/>
          <w:sz w:val="20"/>
          <w:szCs w:val="20"/>
          <w:lang w:val="es-ES"/>
        </w:rPr>
      </w:pPr>
      <w:hyperlink r:id="rId13" w:history="1">
        <w:r w:rsidR="002959B8" w:rsidRPr="00FC61CF">
          <w:rPr>
            <w:rStyle w:val="Hipervnculo"/>
            <w:color w:val="0070C0"/>
            <w:sz w:val="20"/>
            <w:szCs w:val="20"/>
            <w:lang w:val="es-ES"/>
          </w:rPr>
          <w:t>www.tovaryasociados.jimdo.com</w:t>
        </w:r>
      </w:hyperlink>
    </w:p>
    <w:p w:rsidR="00EF36B9" w:rsidRPr="00FC61CF" w:rsidRDefault="00EF36B9" w:rsidP="00C93266">
      <w:pPr>
        <w:spacing w:after="0" w:line="240" w:lineRule="auto"/>
        <w:ind w:left="708"/>
        <w:jc w:val="both"/>
        <w:rPr>
          <w:color w:val="002060"/>
          <w:sz w:val="20"/>
          <w:szCs w:val="20"/>
          <w:lang w:val="es-ES"/>
        </w:rPr>
      </w:pPr>
    </w:p>
    <w:p w:rsidR="00545E8E" w:rsidRDefault="00545E8E" w:rsidP="00C93266">
      <w:pPr>
        <w:spacing w:after="0" w:line="240" w:lineRule="auto"/>
        <w:ind w:left="708"/>
        <w:jc w:val="both"/>
        <w:rPr>
          <w:color w:val="002060"/>
          <w:sz w:val="20"/>
          <w:szCs w:val="20"/>
          <w:lang w:val="es-ES"/>
        </w:rPr>
      </w:pPr>
    </w:p>
    <w:p w:rsidR="00C93266" w:rsidRPr="00FC61CF" w:rsidRDefault="00CD50AF" w:rsidP="00C93266">
      <w:pPr>
        <w:spacing w:after="0" w:line="240" w:lineRule="auto"/>
        <w:ind w:left="708"/>
        <w:jc w:val="both"/>
        <w:rPr>
          <w:color w:val="002060"/>
          <w:sz w:val="20"/>
          <w:szCs w:val="20"/>
          <w:lang w:val="es-ES"/>
        </w:rPr>
      </w:pPr>
      <w:r w:rsidRPr="00FC61CF">
        <w:rPr>
          <w:color w:val="002060"/>
          <w:sz w:val="20"/>
          <w:szCs w:val="20"/>
          <w:lang w:val="es-ES"/>
        </w:rPr>
        <w:t>Cali, Noviembre 28 de 2011</w:t>
      </w:r>
      <w:r w:rsidR="00C93266" w:rsidRPr="00FC61CF">
        <w:rPr>
          <w:color w:val="002060"/>
          <w:sz w:val="20"/>
          <w:szCs w:val="20"/>
          <w:lang w:val="es-ES"/>
        </w:rPr>
        <w:t>.</w:t>
      </w:r>
    </w:p>
    <w:p w:rsidR="00C93266" w:rsidRPr="00FC61CF" w:rsidRDefault="00C93266" w:rsidP="00C93266">
      <w:pPr>
        <w:spacing w:after="0" w:line="240" w:lineRule="auto"/>
        <w:ind w:left="708"/>
        <w:jc w:val="both"/>
        <w:rPr>
          <w:color w:val="FFFFFF" w:themeColor="background1"/>
          <w:sz w:val="20"/>
          <w:szCs w:val="20"/>
          <w:lang w:val="es-ES"/>
        </w:rPr>
      </w:pPr>
    </w:p>
    <w:p w:rsidR="00C93266" w:rsidRPr="00C93266" w:rsidRDefault="00C93266" w:rsidP="00C93266">
      <w:pPr>
        <w:spacing w:after="0" w:line="240" w:lineRule="auto"/>
        <w:ind w:left="708"/>
        <w:jc w:val="both"/>
        <w:rPr>
          <w:sz w:val="24"/>
          <w:szCs w:val="24"/>
          <w:lang w:val="es-ES"/>
        </w:rPr>
      </w:pPr>
    </w:p>
    <w:p w:rsidR="00E707EB" w:rsidRPr="00E707EB" w:rsidRDefault="00E707EB" w:rsidP="00E707EB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E707EB" w:rsidRPr="00E707EB" w:rsidRDefault="00E707EB" w:rsidP="00E707EB">
      <w:pPr>
        <w:pStyle w:val="Prrafodelista"/>
        <w:spacing w:after="0" w:line="240" w:lineRule="auto"/>
        <w:jc w:val="both"/>
        <w:rPr>
          <w:sz w:val="24"/>
          <w:szCs w:val="24"/>
          <w:lang w:val="es-ES"/>
        </w:rPr>
      </w:pPr>
    </w:p>
    <w:sectPr w:rsidR="00E707EB" w:rsidRPr="00E707EB" w:rsidSect="00624E2A">
      <w:pgSz w:w="12240" w:h="15840"/>
      <w:pgMar w:top="1134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620D"/>
    <w:multiLevelType w:val="hybridMultilevel"/>
    <w:tmpl w:val="34B6A9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233AB"/>
    <w:multiLevelType w:val="hybridMultilevel"/>
    <w:tmpl w:val="F0FA3D32"/>
    <w:lvl w:ilvl="0" w:tplc="240A000F">
      <w:start w:val="1"/>
      <w:numFmt w:val="decimal"/>
      <w:lvlText w:val="%1."/>
      <w:lvlJc w:val="left"/>
      <w:pPr>
        <w:ind w:left="786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F0C51"/>
    <w:multiLevelType w:val="hybridMultilevel"/>
    <w:tmpl w:val="4EB83E42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94"/>
    <w:rsid w:val="00044738"/>
    <w:rsid w:val="00052F0D"/>
    <w:rsid w:val="000C1BEE"/>
    <w:rsid w:val="00131565"/>
    <w:rsid w:val="00137B8E"/>
    <w:rsid w:val="00146E2F"/>
    <w:rsid w:val="001F2FFD"/>
    <w:rsid w:val="001F7693"/>
    <w:rsid w:val="00225E68"/>
    <w:rsid w:val="0027477C"/>
    <w:rsid w:val="002959B8"/>
    <w:rsid w:val="002974A1"/>
    <w:rsid w:val="0030411C"/>
    <w:rsid w:val="0036032D"/>
    <w:rsid w:val="00377961"/>
    <w:rsid w:val="003E18DA"/>
    <w:rsid w:val="003F6BC5"/>
    <w:rsid w:val="00545E8E"/>
    <w:rsid w:val="00594346"/>
    <w:rsid w:val="005C09FF"/>
    <w:rsid w:val="00624E2A"/>
    <w:rsid w:val="007251F7"/>
    <w:rsid w:val="00741D90"/>
    <w:rsid w:val="00923EF5"/>
    <w:rsid w:val="00965D98"/>
    <w:rsid w:val="009970FF"/>
    <w:rsid w:val="00A076F3"/>
    <w:rsid w:val="00A2401F"/>
    <w:rsid w:val="00A30D5C"/>
    <w:rsid w:val="00AF06F9"/>
    <w:rsid w:val="00B56F94"/>
    <w:rsid w:val="00B611F3"/>
    <w:rsid w:val="00BC5942"/>
    <w:rsid w:val="00BD79F7"/>
    <w:rsid w:val="00BE2B20"/>
    <w:rsid w:val="00BE6A26"/>
    <w:rsid w:val="00C90A7E"/>
    <w:rsid w:val="00C93266"/>
    <w:rsid w:val="00CB043C"/>
    <w:rsid w:val="00CB0A12"/>
    <w:rsid w:val="00CD50AF"/>
    <w:rsid w:val="00D14ACD"/>
    <w:rsid w:val="00D559D1"/>
    <w:rsid w:val="00D70E6D"/>
    <w:rsid w:val="00D9376D"/>
    <w:rsid w:val="00DE5667"/>
    <w:rsid w:val="00E03AE2"/>
    <w:rsid w:val="00E707EB"/>
    <w:rsid w:val="00EA7937"/>
    <w:rsid w:val="00EF36B9"/>
    <w:rsid w:val="00F23EF6"/>
    <w:rsid w:val="00F525C2"/>
    <w:rsid w:val="00FA1ADE"/>
    <w:rsid w:val="00FC61CF"/>
    <w:rsid w:val="00FD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0D5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B2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3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0D5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B2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3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://www.tovaryasociados.jimdo.com" TargetMode="Externa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hyperlink" Target="mailto:ttovar9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BE51D6-45FF-42F8-9A48-71C9E6563293}" type="doc">
      <dgm:prSet loTypeId="urn:microsoft.com/office/officeart/2005/8/layout/target1" loCatId="relationship" qsTypeId="urn:microsoft.com/office/officeart/2005/8/quickstyle/simple1" qsCatId="simple" csTypeId="urn:microsoft.com/office/officeart/2005/8/colors/accent1_2" csCatId="accent1" phldr="1"/>
      <dgm:spPr/>
    </dgm:pt>
    <dgm:pt modelId="{3F62A0F3-3C51-4837-A9FA-688D61B870D0}">
      <dgm:prSet phldrT="[Texto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s-CO" sz="800">
              <a:solidFill>
                <a:srgbClr val="002060"/>
              </a:solidFill>
            </a:rPr>
            <a:t>Grupo Empresarial</a:t>
          </a:r>
        </a:p>
      </dgm:t>
    </dgm:pt>
    <dgm:pt modelId="{61E6F03E-B14B-4221-BBFB-225D216AF7D6}" type="parTrans" cxnId="{8B694886-7294-410D-9783-665AE96DF94B}">
      <dgm:prSet/>
      <dgm:spPr/>
      <dgm:t>
        <a:bodyPr/>
        <a:lstStyle/>
        <a:p>
          <a:endParaRPr lang="es-CO"/>
        </a:p>
      </dgm:t>
    </dgm:pt>
    <dgm:pt modelId="{88CFCF28-B892-4672-B034-204834589F33}" type="sibTrans" cxnId="{8B694886-7294-410D-9783-665AE96DF94B}">
      <dgm:prSet/>
      <dgm:spPr/>
      <dgm:t>
        <a:bodyPr/>
        <a:lstStyle/>
        <a:p>
          <a:endParaRPr lang="es-CO"/>
        </a:p>
      </dgm:t>
    </dgm:pt>
    <dgm:pt modelId="{E2536BA0-A146-430F-9193-6C278BF983CA}">
      <dgm:prSet phldrT="[Texto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s-CO" sz="800">
              <a:solidFill>
                <a:srgbClr val="002060"/>
              </a:solidFill>
            </a:rPr>
            <a:t>Sociedades Vigiladas</a:t>
          </a:r>
        </a:p>
      </dgm:t>
    </dgm:pt>
    <dgm:pt modelId="{EC9AB649-2EA9-4DBD-8A7E-429198557E24}" type="parTrans" cxnId="{306B0C49-C1DD-4BB5-AF30-E7D4116FCC00}">
      <dgm:prSet/>
      <dgm:spPr/>
      <dgm:t>
        <a:bodyPr/>
        <a:lstStyle/>
        <a:p>
          <a:endParaRPr lang="es-CO"/>
        </a:p>
      </dgm:t>
    </dgm:pt>
    <dgm:pt modelId="{51F31436-C001-4E90-9B92-09E62F680315}" type="sibTrans" cxnId="{306B0C49-C1DD-4BB5-AF30-E7D4116FCC00}">
      <dgm:prSet/>
      <dgm:spPr/>
      <dgm:t>
        <a:bodyPr/>
        <a:lstStyle/>
        <a:p>
          <a:endParaRPr lang="es-CO"/>
        </a:p>
      </dgm:t>
    </dgm:pt>
    <dgm:pt modelId="{0231D38D-9F36-42D6-BEAC-74500E7A1885}">
      <dgm:prSet phldrT="[Texto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s-CO" sz="800">
              <a:solidFill>
                <a:srgbClr val="002060"/>
              </a:solidFill>
            </a:rPr>
            <a:t>Escisión</a:t>
          </a:r>
        </a:p>
      </dgm:t>
    </dgm:pt>
    <dgm:pt modelId="{1854E072-6B11-4DF4-AB16-9D3F8FA1C176}" type="parTrans" cxnId="{239B5BDA-1EF6-4269-A27C-8D3F4E267A48}">
      <dgm:prSet/>
      <dgm:spPr/>
      <dgm:t>
        <a:bodyPr/>
        <a:lstStyle/>
        <a:p>
          <a:endParaRPr lang="es-CO"/>
        </a:p>
      </dgm:t>
    </dgm:pt>
    <dgm:pt modelId="{DBFA1E4A-80F2-45DD-9657-BB0DD52942B4}" type="sibTrans" cxnId="{239B5BDA-1EF6-4269-A27C-8D3F4E267A48}">
      <dgm:prSet/>
      <dgm:spPr/>
      <dgm:t>
        <a:bodyPr/>
        <a:lstStyle/>
        <a:p>
          <a:endParaRPr lang="es-CO"/>
        </a:p>
      </dgm:t>
    </dgm:pt>
    <dgm:pt modelId="{2491C958-A009-40FC-A3A6-4280E5A970B3}" type="pres">
      <dgm:prSet presAssocID="{D3BE51D6-45FF-42F8-9A48-71C9E6563293}" presName="composite" presStyleCnt="0">
        <dgm:presLayoutVars>
          <dgm:chMax val="5"/>
          <dgm:dir/>
          <dgm:resizeHandles val="exact"/>
        </dgm:presLayoutVars>
      </dgm:prSet>
      <dgm:spPr/>
    </dgm:pt>
    <dgm:pt modelId="{00A5785B-8ECE-46BF-881A-5F6B3AA86B0F}" type="pres">
      <dgm:prSet presAssocID="{3F62A0F3-3C51-4837-A9FA-688D61B870D0}" presName="circle1" presStyleLbl="lnNode1" presStyleIdx="0" presStyleCnt="3" custLinFactNeighborX="2719" custLinFactNeighborY="-20325"/>
      <dgm:spPr/>
    </dgm:pt>
    <dgm:pt modelId="{A9AEB8F2-D1A0-48B3-BB7A-D4241641BB4C}" type="pres">
      <dgm:prSet presAssocID="{3F62A0F3-3C51-4837-A9FA-688D61B870D0}" presName="text1" presStyleLbl="revTx" presStyleIdx="0" presStyleCnt="3" custScaleX="143439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71F661FE-2B25-4D54-8086-D83B38351CD3}" type="pres">
      <dgm:prSet presAssocID="{3F62A0F3-3C51-4837-A9FA-688D61B870D0}" presName="line1" presStyleLbl="callout" presStyleIdx="0" presStyleCnt="6" custFlipVert="1" custSzY="45720" custScaleX="37372"/>
      <dgm:spPr/>
    </dgm:pt>
    <dgm:pt modelId="{C8E07B58-02C2-4892-8306-3E55624BBD1E}" type="pres">
      <dgm:prSet presAssocID="{3F62A0F3-3C51-4837-A9FA-688D61B870D0}" presName="d1" presStyleLbl="callout" presStyleIdx="1" presStyleCnt="6" custScaleX="111216" custScaleY="105668"/>
      <dgm:spPr/>
    </dgm:pt>
    <dgm:pt modelId="{7A8332AD-E047-417D-B6C7-AF09DC664353}" type="pres">
      <dgm:prSet presAssocID="{E2536BA0-A146-430F-9193-6C278BF983CA}" presName="circle2" presStyleLbl="lnNode1" presStyleIdx="1" presStyleCnt="3"/>
      <dgm:spPr/>
    </dgm:pt>
    <dgm:pt modelId="{88960925-3BFF-4A24-8BDD-0AC40CFB5EC8}" type="pres">
      <dgm:prSet presAssocID="{E2536BA0-A146-430F-9193-6C278BF983CA}" presName="text2" presStyleLbl="revTx" presStyleIdx="1" presStyleCnt="3" custScaleX="144545" custScaleY="126486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3A5EBA84-0436-4EB1-8D3A-04719E954DE7}" type="pres">
      <dgm:prSet presAssocID="{E2536BA0-A146-430F-9193-6C278BF983CA}" presName="line2" presStyleLbl="callout" presStyleIdx="2" presStyleCnt="6"/>
      <dgm:spPr/>
    </dgm:pt>
    <dgm:pt modelId="{BE72AE40-3924-4282-A06F-7627FAF1C8FB}" type="pres">
      <dgm:prSet presAssocID="{E2536BA0-A146-430F-9193-6C278BF983CA}" presName="d2" presStyleLbl="callout" presStyleIdx="3" presStyleCnt="6"/>
      <dgm:spPr/>
    </dgm:pt>
    <dgm:pt modelId="{540B42BD-786F-4197-8008-B79209C8022F}" type="pres">
      <dgm:prSet presAssocID="{0231D38D-9F36-42D6-BEAC-74500E7A1885}" presName="circle3" presStyleLbl="lnNode1" presStyleIdx="2" presStyleCnt="3"/>
      <dgm:spPr/>
    </dgm:pt>
    <dgm:pt modelId="{8B4407AF-B25E-4910-BE93-5A98543E18FA}" type="pres">
      <dgm:prSet presAssocID="{0231D38D-9F36-42D6-BEAC-74500E7A1885}" presName="text3" presStyleLbl="revTx" presStyleIdx="2" presStyleCnt="3" custScaleX="141493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6829D2A2-6C18-44F3-9CBD-FB524298D9DC}" type="pres">
      <dgm:prSet presAssocID="{0231D38D-9F36-42D6-BEAC-74500E7A1885}" presName="line3" presStyleLbl="callout" presStyleIdx="4" presStyleCnt="6"/>
      <dgm:spPr/>
    </dgm:pt>
    <dgm:pt modelId="{30833049-18BD-43E3-B1CA-5B5F70E0F48A}" type="pres">
      <dgm:prSet presAssocID="{0231D38D-9F36-42D6-BEAC-74500E7A1885}" presName="d3" presStyleLbl="callout" presStyleIdx="5" presStyleCnt="6"/>
      <dgm:spPr/>
    </dgm:pt>
  </dgm:ptLst>
  <dgm:cxnLst>
    <dgm:cxn modelId="{8403A17A-940D-4637-840B-AEC696DF06E2}" type="presOf" srcId="{3F62A0F3-3C51-4837-A9FA-688D61B870D0}" destId="{A9AEB8F2-D1A0-48B3-BB7A-D4241641BB4C}" srcOrd="0" destOrd="0" presId="urn:microsoft.com/office/officeart/2005/8/layout/target1"/>
    <dgm:cxn modelId="{6B7CF178-6923-4BAD-A14B-577E712AA62F}" type="presOf" srcId="{D3BE51D6-45FF-42F8-9A48-71C9E6563293}" destId="{2491C958-A009-40FC-A3A6-4280E5A970B3}" srcOrd="0" destOrd="0" presId="urn:microsoft.com/office/officeart/2005/8/layout/target1"/>
    <dgm:cxn modelId="{41070444-91AF-4AFC-A538-22AE4C186FDC}" type="presOf" srcId="{E2536BA0-A146-430F-9193-6C278BF983CA}" destId="{88960925-3BFF-4A24-8BDD-0AC40CFB5EC8}" srcOrd="0" destOrd="0" presId="urn:microsoft.com/office/officeart/2005/8/layout/target1"/>
    <dgm:cxn modelId="{8B694886-7294-410D-9783-665AE96DF94B}" srcId="{D3BE51D6-45FF-42F8-9A48-71C9E6563293}" destId="{3F62A0F3-3C51-4837-A9FA-688D61B870D0}" srcOrd="0" destOrd="0" parTransId="{61E6F03E-B14B-4221-BBFB-225D216AF7D6}" sibTransId="{88CFCF28-B892-4672-B034-204834589F33}"/>
    <dgm:cxn modelId="{239B5BDA-1EF6-4269-A27C-8D3F4E267A48}" srcId="{D3BE51D6-45FF-42F8-9A48-71C9E6563293}" destId="{0231D38D-9F36-42D6-BEAC-74500E7A1885}" srcOrd="2" destOrd="0" parTransId="{1854E072-6B11-4DF4-AB16-9D3F8FA1C176}" sibTransId="{DBFA1E4A-80F2-45DD-9657-BB0DD52942B4}"/>
    <dgm:cxn modelId="{F7715E20-B941-4E84-89FF-C1C8FD6BAC99}" type="presOf" srcId="{0231D38D-9F36-42D6-BEAC-74500E7A1885}" destId="{8B4407AF-B25E-4910-BE93-5A98543E18FA}" srcOrd="0" destOrd="0" presId="urn:microsoft.com/office/officeart/2005/8/layout/target1"/>
    <dgm:cxn modelId="{306B0C49-C1DD-4BB5-AF30-E7D4116FCC00}" srcId="{D3BE51D6-45FF-42F8-9A48-71C9E6563293}" destId="{E2536BA0-A146-430F-9193-6C278BF983CA}" srcOrd="1" destOrd="0" parTransId="{EC9AB649-2EA9-4DBD-8A7E-429198557E24}" sibTransId="{51F31436-C001-4E90-9B92-09E62F680315}"/>
    <dgm:cxn modelId="{EF56F302-CF56-4D39-A195-FE4B4FD47EDE}" type="presParOf" srcId="{2491C958-A009-40FC-A3A6-4280E5A970B3}" destId="{00A5785B-8ECE-46BF-881A-5F6B3AA86B0F}" srcOrd="0" destOrd="0" presId="urn:microsoft.com/office/officeart/2005/8/layout/target1"/>
    <dgm:cxn modelId="{2B86B7AA-1706-480B-944D-83559CFCEC73}" type="presParOf" srcId="{2491C958-A009-40FC-A3A6-4280E5A970B3}" destId="{A9AEB8F2-D1A0-48B3-BB7A-D4241641BB4C}" srcOrd="1" destOrd="0" presId="urn:microsoft.com/office/officeart/2005/8/layout/target1"/>
    <dgm:cxn modelId="{E5AD124D-2B54-456E-9CD4-F7A59730E932}" type="presParOf" srcId="{2491C958-A009-40FC-A3A6-4280E5A970B3}" destId="{71F661FE-2B25-4D54-8086-D83B38351CD3}" srcOrd="2" destOrd="0" presId="urn:microsoft.com/office/officeart/2005/8/layout/target1"/>
    <dgm:cxn modelId="{350997F2-5291-49EB-97F6-00DB539187F8}" type="presParOf" srcId="{2491C958-A009-40FC-A3A6-4280E5A970B3}" destId="{C8E07B58-02C2-4892-8306-3E55624BBD1E}" srcOrd="3" destOrd="0" presId="urn:microsoft.com/office/officeart/2005/8/layout/target1"/>
    <dgm:cxn modelId="{2557EE57-5D42-42D1-BA60-CF7AC6DB2767}" type="presParOf" srcId="{2491C958-A009-40FC-A3A6-4280E5A970B3}" destId="{7A8332AD-E047-417D-B6C7-AF09DC664353}" srcOrd="4" destOrd="0" presId="urn:microsoft.com/office/officeart/2005/8/layout/target1"/>
    <dgm:cxn modelId="{6B0233BA-C9DA-4293-BB59-52B41FC2FC7E}" type="presParOf" srcId="{2491C958-A009-40FC-A3A6-4280E5A970B3}" destId="{88960925-3BFF-4A24-8BDD-0AC40CFB5EC8}" srcOrd="5" destOrd="0" presId="urn:microsoft.com/office/officeart/2005/8/layout/target1"/>
    <dgm:cxn modelId="{EF3105A8-2E18-411F-ADB0-3A9A6DABB84B}" type="presParOf" srcId="{2491C958-A009-40FC-A3A6-4280E5A970B3}" destId="{3A5EBA84-0436-4EB1-8D3A-04719E954DE7}" srcOrd="6" destOrd="0" presId="urn:microsoft.com/office/officeart/2005/8/layout/target1"/>
    <dgm:cxn modelId="{CCA06AB8-EB0B-4D0F-BB5C-AAC9AD38DC5F}" type="presParOf" srcId="{2491C958-A009-40FC-A3A6-4280E5A970B3}" destId="{BE72AE40-3924-4282-A06F-7627FAF1C8FB}" srcOrd="7" destOrd="0" presId="urn:microsoft.com/office/officeart/2005/8/layout/target1"/>
    <dgm:cxn modelId="{5894A503-4955-4D1D-8C1A-105A93EF2700}" type="presParOf" srcId="{2491C958-A009-40FC-A3A6-4280E5A970B3}" destId="{540B42BD-786F-4197-8008-B79209C8022F}" srcOrd="8" destOrd="0" presId="urn:microsoft.com/office/officeart/2005/8/layout/target1"/>
    <dgm:cxn modelId="{3DEEFBD1-0D3D-4828-A414-87BD63258DAF}" type="presParOf" srcId="{2491C958-A009-40FC-A3A6-4280E5A970B3}" destId="{8B4407AF-B25E-4910-BE93-5A98543E18FA}" srcOrd="9" destOrd="0" presId="urn:microsoft.com/office/officeart/2005/8/layout/target1"/>
    <dgm:cxn modelId="{9790B8E2-8426-4C15-A60F-76BF24C65542}" type="presParOf" srcId="{2491C958-A009-40FC-A3A6-4280E5A970B3}" destId="{6829D2A2-6C18-44F3-9CBD-FB524298D9DC}" srcOrd="10" destOrd="0" presId="urn:microsoft.com/office/officeart/2005/8/layout/target1"/>
    <dgm:cxn modelId="{E7EA98BF-90D5-4091-9C89-74F7F58E847F}" type="presParOf" srcId="{2491C958-A009-40FC-A3A6-4280E5A970B3}" destId="{30833049-18BD-43E3-B1CA-5B5F70E0F48A}" srcOrd="11" destOrd="0" presId="urn:microsoft.com/office/officeart/2005/8/layout/targe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0B42BD-786F-4197-8008-B79209C8022F}">
      <dsp:nvSpPr>
        <dsp:cNvPr id="0" name=""/>
        <dsp:cNvSpPr/>
      </dsp:nvSpPr>
      <dsp:spPr>
        <a:xfrm>
          <a:off x="1949326" y="326231"/>
          <a:ext cx="978693" cy="97869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A8332AD-E047-417D-B6C7-AF09DC664353}">
      <dsp:nvSpPr>
        <dsp:cNvPr id="0" name=""/>
        <dsp:cNvSpPr/>
      </dsp:nvSpPr>
      <dsp:spPr>
        <a:xfrm>
          <a:off x="2145065" y="521970"/>
          <a:ext cx="587216" cy="58721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A5785B-8ECE-46BF-881A-5F6B3AA86B0F}">
      <dsp:nvSpPr>
        <dsp:cNvPr id="0" name=""/>
        <dsp:cNvSpPr/>
      </dsp:nvSpPr>
      <dsp:spPr>
        <a:xfrm>
          <a:off x="2346126" y="677924"/>
          <a:ext cx="195738" cy="19573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AEB8F2-D1A0-48B3-BB7A-D4241641BB4C}">
      <dsp:nvSpPr>
        <dsp:cNvPr id="0" name=""/>
        <dsp:cNvSpPr/>
      </dsp:nvSpPr>
      <dsp:spPr>
        <a:xfrm>
          <a:off x="2984852" y="0"/>
          <a:ext cx="701914" cy="285452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10160" bIns="1016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800" kern="1200">
              <a:solidFill>
                <a:srgbClr val="002060"/>
              </a:solidFill>
            </a:rPr>
            <a:t>Grupo Empresarial</a:t>
          </a:r>
        </a:p>
      </dsp:txBody>
      <dsp:txXfrm>
        <a:off x="2984852" y="0"/>
        <a:ext cx="701914" cy="285452"/>
      </dsp:txXfrm>
    </dsp:sp>
    <dsp:sp modelId="{71F661FE-2B25-4D54-8086-D83B38351CD3}">
      <dsp:nvSpPr>
        <dsp:cNvPr id="0" name=""/>
        <dsp:cNvSpPr/>
      </dsp:nvSpPr>
      <dsp:spPr>
        <a:xfrm flipV="1">
          <a:off x="3007108" y="119866"/>
          <a:ext cx="45719" cy="4572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8E07B58-02C2-4892-8306-3E55624BBD1E}">
      <dsp:nvSpPr>
        <dsp:cNvPr id="0" name=""/>
        <dsp:cNvSpPr/>
      </dsp:nvSpPr>
      <dsp:spPr>
        <a:xfrm rot="5400000">
          <a:off x="2348083" y="184713"/>
          <a:ext cx="710816" cy="58904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8960925-3BFF-4A24-8BDD-0AC40CFB5EC8}">
      <dsp:nvSpPr>
        <dsp:cNvPr id="0" name=""/>
        <dsp:cNvSpPr/>
      </dsp:nvSpPr>
      <dsp:spPr>
        <a:xfrm>
          <a:off x="2982146" y="247649"/>
          <a:ext cx="707326" cy="361057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10160" bIns="1016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800" kern="1200">
              <a:solidFill>
                <a:srgbClr val="002060"/>
              </a:solidFill>
            </a:rPr>
            <a:t>Sociedades Vigiladas</a:t>
          </a:r>
        </a:p>
      </dsp:txBody>
      <dsp:txXfrm>
        <a:off x="2982146" y="247649"/>
        <a:ext cx="707326" cy="361057"/>
      </dsp:txXfrm>
    </dsp:sp>
    <dsp:sp modelId="{3A5EBA84-0436-4EB1-8D3A-04719E954DE7}">
      <dsp:nvSpPr>
        <dsp:cNvPr id="0" name=""/>
        <dsp:cNvSpPr/>
      </dsp:nvSpPr>
      <dsp:spPr>
        <a:xfrm>
          <a:off x="2968799" y="428178"/>
          <a:ext cx="122336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E72AE40-3924-4282-A06F-7627FAF1C8FB}">
      <dsp:nvSpPr>
        <dsp:cNvPr id="0" name=""/>
        <dsp:cNvSpPr/>
      </dsp:nvSpPr>
      <dsp:spPr>
        <a:xfrm rot="5400000">
          <a:off x="2511537" y="495414"/>
          <a:ext cx="524188" cy="389356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B4407AF-B25E-4910-BE93-5A98543E18FA}">
      <dsp:nvSpPr>
        <dsp:cNvPr id="0" name=""/>
        <dsp:cNvSpPr/>
      </dsp:nvSpPr>
      <dsp:spPr>
        <a:xfrm>
          <a:off x="2989614" y="570904"/>
          <a:ext cx="692391" cy="285452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10160" bIns="1016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800" kern="1200">
              <a:solidFill>
                <a:srgbClr val="002060"/>
              </a:solidFill>
            </a:rPr>
            <a:t>Escisión</a:t>
          </a:r>
        </a:p>
      </dsp:txBody>
      <dsp:txXfrm>
        <a:off x="2989614" y="570904"/>
        <a:ext cx="692391" cy="285452"/>
      </dsp:txXfrm>
    </dsp:sp>
    <dsp:sp modelId="{6829D2A2-6C18-44F3-9CBD-FB524298D9DC}">
      <dsp:nvSpPr>
        <dsp:cNvPr id="0" name=""/>
        <dsp:cNvSpPr/>
      </dsp:nvSpPr>
      <dsp:spPr>
        <a:xfrm>
          <a:off x="2968799" y="713630"/>
          <a:ext cx="122336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0833049-18BD-43E3-B1CA-5B5F70E0F48A}">
      <dsp:nvSpPr>
        <dsp:cNvPr id="0" name=""/>
        <dsp:cNvSpPr/>
      </dsp:nvSpPr>
      <dsp:spPr>
        <a:xfrm rot="5400000">
          <a:off x="2656106" y="776185"/>
          <a:ext cx="374513" cy="249077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1">
  <dgm:title val=""/>
  <dgm:desc val=""/>
  <dgm:catLst>
    <dgm:cat type="relationship" pri="25000"/>
    <dgm:cat type="convert" pri="2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resizeHandles val="exact"/>
    </dgm:varLst>
    <dgm:alg type="composite">
      <dgm:param type="ar" val="1.25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hoose name="Name2">
          <dgm:if name="Name3" axis="ch" ptType="node" func="cnt" op="equ" val="0">
            <dgm:constrLst/>
          </dgm:if>
          <dgm:if name="Name4" axis="ch" ptType="node" func="cnt" op="equ" val="1">
            <dgm:constrLst>
              <dgm:constr type="primFontSz" for="des" ptType="node" op="equ" val="65"/>
              <dgm:constr type="w" for="ch" forName="circle1" refType="w" fact="0.6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r" for="ch" forName="line1" refType="l" refFor="ch" refForName="text1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75"/>
              <dgm:constr type="h" for="ch" forName="d1" refType="h" fact="0.469"/>
            </dgm:constrLst>
          </dgm:if>
          <dgm:if name="Name5" axis="ch" ptType="node" func="cnt" op="equ" val="2">
            <dgm:constrLst>
              <dgm:constr type="primFontSz" for="des" ptType="node" op="equ" val="65"/>
              <dgm:constr type="w" for="ch" forName="circle1" refType="w" fact="0.2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75"/>
              <dgm:constr type="h" for="ch" forName="d1" refType="h" fact="0.469"/>
              <dgm:constr type="w" for="ch" forName="circle2" refType="w" fact="0.6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3125"/>
              <dgm:constr type="r" for="ch" forName="text2" refType="w"/>
              <dgm:constr type="t" for="ch" forName="text2" refType="b" refFor="ch" refForName="text1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44325"/>
              <dgm:constr type="b" for="ch" forName="d2" refType="h" fact="0.7975"/>
              <dgm:constr type="w" for="ch" forName="d2" refType="w" fact="0.1815"/>
              <dgm:constr type="h" for="ch" forName="d2" refType="h" fact="0.3283"/>
            </dgm:constrLst>
          </dgm:if>
          <dgm:if name="Name6" axis="ch" ptType="node" func="cnt" op="equ" val="3">
            <dgm:constrLst>
              <dgm:constr type="primFontSz" for="des" ptType="node" op="equ" val="65"/>
              <dgm:constr type="w" for="ch" forName="circle1" refType="w" fact="0.12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21875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7"/>
              <dgm:constr type="h" for="ch" forName="d1" refType="h" fact="0.5155"/>
              <dgm:constr type="w" for="ch" forName="circle2" refType="w" fact="0.36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21875"/>
              <dgm:constr type="r" for="ch" forName="text2" refType="w"/>
              <dgm:constr type="t" for="ch" forName="text2" refType="b" refFor="ch" refForName="text1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386"/>
              <dgm:constr type="b" for="ch" forName="d2" refType="h" fact="0.72969"/>
              <dgm:constr type="w" for="ch" forName="d2" refType="w" fact="0.2387"/>
              <dgm:constr type="h" for="ch" forName="d2" refType="h" fact="0.4017"/>
              <dgm:constr type="w" for="ch" forName="circle3" refType="w" fact="0.6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21875"/>
              <dgm:constr type="r" for="ch" forName="text3" refType="w"/>
              <dgm:constr type="t" for="ch" forName="text3" refType="b" refFor="ch" refForName="text2"/>
              <dgm:constr type="l" for="ch" forName="line3" refType="w" fact="0.625"/>
              <dgm:constr type="ctrY" for="ch" forName="line3" refType="ctrY" refFor="ch" refForName="text3"/>
              <dgm:constr type="w" for="ch" forName="line3" refType="w" fact="0.075"/>
              <dgm:constr type="h" for="ch" forName="line3"/>
              <dgm:constr type="l" for="ch" forName="d3" refType="w" fact="0.47175"/>
              <dgm:constr type="b" for="ch" forName="d3" refType="h" fact="0.83375"/>
              <dgm:constr type="w" for="ch" forName="d3" refType="w" fact="0.1527"/>
              <dgm:constr type="h" for="ch" forName="d3" refType="h" fact="0.287"/>
            </dgm:constrLst>
          </dgm:if>
          <dgm:if name="Name7" axis="ch" ptType="node" func="cnt" op="equ" val="4">
            <dgm:constrLst>
              <dgm:constr type="primFontSz" for="des" ptType="node" op="equ" val="65"/>
              <dgm:constr type="w" for="ch" forName="circle1" refType="w" fact="0.0857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17938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295"/>
              <dgm:constr type="b" for="ch" forName="d1" refType="h" fact="0.62"/>
              <dgm:constr type="w" for="ch" forName="d1" refType="w" fact="0.33"/>
              <dgm:constr type="h" for="ch" forName="d1" refType="h" fact="0.53"/>
              <dgm:constr type="w" for="ch" forName="circle2" refType="w" fact="0.2571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17938"/>
              <dgm:constr type="r" for="ch" forName="text2" refType="w"/>
              <dgm:constr type="t" for="ch" forName="text2" refType="b" refFor="ch" refForName="text1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36625"/>
              <dgm:constr type="b" for="ch" forName="d2" refType="h" fact="0.70438"/>
              <dgm:constr type="w" for="ch" forName="d2" refType="w" fact="0.2585"/>
              <dgm:constr type="h" for="ch" forName="d2" refType="h" fact="0.43525"/>
              <dgm:constr type="w" for="ch" forName="circle3" refType="w" fact="0.4285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7938"/>
              <dgm:constr type="r" for="ch" forName="text3" refType="w"/>
              <dgm:constr type="t" for="ch" forName="text3" refType="b" refFor="ch" refForName="text2"/>
              <dgm:constr type="l" for="ch" forName="line3" refType="w" fact="0.625"/>
              <dgm:constr type="ctrY" for="ch" forName="line3" refType="ctrY" refFor="ch" refForName="text3"/>
              <dgm:constr type="w" for="ch" forName="line3" refType="w" fact="0.075"/>
              <dgm:constr type="h" for="ch" forName="line3"/>
              <dgm:constr type="l" for="ch" forName="d3" refType="w" fact="0.4255"/>
              <dgm:constr type="b" for="ch" forName="d3" refType="h" fact="0.78031"/>
              <dgm:constr type="w" for="ch" forName="d3" refType="w" fact="0.1995"/>
              <dgm:constr type="h" for="ch" forName="d3" refType="h" fact="0.332"/>
              <dgm:constr type="w" for="ch" forName="circle4" refType="w" fact="0.6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7938"/>
              <dgm:constr type="r" for="ch" forName="text4" refType="w"/>
              <dgm:constr type="t" for="ch" forName="text4" refType="b" refFor="ch" refForName="text3"/>
              <dgm:constr type="l" for="ch" forName="line4" refType="w" fact="0.625"/>
              <dgm:constr type="ctrY" for="ch" forName="line4" refType="ctrY" refFor="ch" refForName="text4"/>
              <dgm:constr type="w" for="ch" forName="line4" refType="w" fact="0.075"/>
              <dgm:constr type="h" for="ch" forName="line4"/>
              <dgm:constr type="l" for="ch" forName="d4" refType="w" fact="0.48525"/>
              <dgm:constr type="b" for="ch" forName="d4" refType="h" fact="0.85594"/>
              <dgm:constr type="w" for="ch" forName="d4" refType="w" fact="0.1394"/>
              <dgm:constr type="h" for="ch" forName="d4" refType="h" fact="0.2282"/>
            </dgm:constrLst>
          </dgm:if>
          <dgm:if name="Name8" axis="ch" ptType="node" func="cnt" op="gte" val="5">
            <dgm:constrLst>
              <dgm:constr type="primFontSz" for="des" ptType="node" op="equ" val="65"/>
              <dgm:constr type="w" for="ch" forName="circle1" refType="w" fact="0.0667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1324"/>
              <dgm:constr type="r" for="ch" forName="text1" refType="w"/>
              <dgm:constr type="ctrY" for="ch" forName="text1" refType="h" fact="0.13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5"/>
              <dgm:constr type="h" for="ch" forName="d1" refType="h" fact="0.495"/>
              <dgm:constr type="w" for="ch" forName="circle2" refType="w" fact="0.2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1324"/>
              <dgm:constr type="r" for="ch" forName="text2" refType="w"/>
              <dgm:constr type="ctrY" for="ch" forName="text2" refType="h" fact="0.27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3498"/>
              <dgm:constr type="b" for="ch" forName="d2" refType="h" fact="0.682"/>
              <dgm:constr type="w" for="ch" forName="d2" refType="w" fact="0.275"/>
              <dgm:constr type="h" for="ch" forName="d2" refType="h" fact="0.41215"/>
              <dgm:constr type="w" for="ch" forName="circle3" refType="w" fact="0.3334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324"/>
              <dgm:constr type="r" for="ch" forName="text3" refType="w"/>
              <dgm:constr type="ctrY" for="ch" forName="text3" refType="h" fact="0.41"/>
              <dgm:constr type="l" for="ch" forName="line3" refType="w" fact="0.625"/>
              <dgm:constr type="ctrY" for="ch" forName="line3" refType="ctrY" refFor="ch" refForName="text3"/>
              <dgm:constr type="w" for="ch" forName="line3" refType="w" fact="0.075"/>
              <dgm:constr type="h" for="ch" forName="line3"/>
              <dgm:constr type="l" for="ch" forName="d3" refType="w" fact="0.394"/>
              <dgm:constr type="b" for="ch" forName="d3" refType="h" fact="0.735"/>
              <dgm:constr type="w" for="ch" forName="d3" refType="w" fact="0.231"/>
              <dgm:constr type="h" for="ch" forName="d3" refType="h" fact="0.325"/>
              <dgm:constr type="w" for="ch" forName="circle4" refType="w" fact="0.4667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324"/>
              <dgm:constr type="r" for="ch" forName="text4" refType="w"/>
              <dgm:constr type="ctrY" for="ch" forName="text4" refType="h" fact="0.547"/>
              <dgm:constr type="l" for="ch" forName="line4" refType="w" fact="0.625"/>
              <dgm:constr type="ctrY" for="ch" forName="line4" refType="ctrY" refFor="ch" refForName="text4"/>
              <dgm:constr type="w" for="ch" forName="line4" refType="w" fact="0.075"/>
              <dgm:constr type="h" for="ch" forName="line4"/>
              <dgm:constr type="l" for="ch" forName="d4" refType="w" fact="0.446"/>
              <dgm:constr type="b" for="ch" forName="d4" refType="h" fact="0.795"/>
              <dgm:constr type="w" for="ch" forName="d4" refType="w" fact="0.179"/>
              <dgm:constr type="h" for="ch" forName="d4" refType="h" fact="0.248"/>
              <dgm:constr type="w" for="ch" forName="circle5" refType="w" fact="0.6"/>
              <dgm:constr type="h" for="ch" forName="circle5" refType="w" refFor="ch" refForName="circle5"/>
              <dgm:constr type="ctrX" for="ch" forName="circle5" refType="ctrX" refFor="ch" refForName="circle1"/>
              <dgm:constr type="ctrY" for="ch" forName="circle5" refType="ctrY" refFor="ch" refForName="circle1"/>
              <dgm:constr type="w" for="ch" forName="text5" refType="w" fact="0.3"/>
              <dgm:constr type="h" for="ch" forName="text5" refType="h" fact="0.1324"/>
              <dgm:constr type="r" for="ch" forName="text5" refType="w"/>
              <dgm:constr type="ctrY" for="ch" forName="text5" refType="h" fact="0.68"/>
              <dgm:constr type="l" for="ch" forName="line5" refType="w" fact="0.625"/>
              <dgm:constr type="ctrY" for="ch" forName="line5" refType="ctrY" refFor="ch" refForName="text5"/>
              <dgm:constr type="w" for="ch" forName="line5" refType="w" fact="0.075"/>
              <dgm:constr type="h" for="ch" forName="line5"/>
              <dgm:constr type="l" for="ch" forName="d5" refType="w" fact="0.495"/>
              <dgm:constr type="b" for="ch" forName="d5" refType="h" fact="0.855"/>
              <dgm:constr type="w" for="ch" forName="d5" refType="w" fact="0.13"/>
              <dgm:constr type="h" for="ch" forName="d5" refType="h" fact="0.175"/>
            </dgm:constrLst>
          </dgm:if>
          <dgm:else name="Name9"/>
        </dgm:choose>
      </dgm:if>
      <dgm:else name="Name10">
        <dgm:choose name="Name11">
          <dgm:if name="Name12" axis="ch" ptType="node" func="cnt" op="equ" val="0">
            <dgm:constrLst/>
          </dgm:if>
          <dgm:if name="Name13" axis="ch" ptType="node" func="cnt" op="equ" val="1">
            <dgm:constrLst>
              <dgm:constr type="primFontSz" for="des" ptType="node" op="equ" val="65"/>
              <dgm:constr type="w" for="ch" forName="circle1" refType="w" fact="0.6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75"/>
              <dgm:constr type="h" for="ch" forName="d1" refType="h" fact="0.469"/>
            </dgm:constrLst>
          </dgm:if>
          <dgm:if name="Name14" axis="ch" ptType="node" func="cnt" op="equ" val="2">
            <dgm:constrLst>
              <dgm:constr type="primFontSz" for="des" ptType="node" op="equ" val="65"/>
              <dgm:constr type="w" for="ch" forName="circle1" refType="w" fact="0.2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75"/>
              <dgm:constr type="h" for="ch" forName="d1" refType="h" fact="0.469"/>
              <dgm:constr type="w" for="ch" forName="circle2" refType="w" fact="0.6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3125"/>
              <dgm:constr type="l" for="ch" forName="text2"/>
              <dgm:constr type="t" for="ch" forName="text2" refType="b" refFor="ch" refForName="text1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55675"/>
              <dgm:constr type="b" for="ch" forName="d2" refType="h" fact="0.7975"/>
              <dgm:constr type="w" for="ch" forName="d2" refType="w" fact="0.1815"/>
              <dgm:constr type="h" for="ch" forName="d2" refType="h" fact="0.3283"/>
            </dgm:constrLst>
          </dgm:if>
          <dgm:if name="Name15" axis="ch" ptType="node" func="cnt" op="equ" val="3">
            <dgm:constrLst>
              <dgm:constr type="primFontSz" for="des" ptType="node" op="equ" val="65"/>
              <dgm:constr type="w" for="ch" forName="circle1" refType="w" fact="0.12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21875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7"/>
              <dgm:constr type="h" for="ch" forName="d1" refType="h" fact="0.5155"/>
              <dgm:constr type="w" for="ch" forName="circle2" refType="w" fact="0.36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21875"/>
              <dgm:constr type="l" for="ch" forName="text2"/>
              <dgm:constr type="t" for="ch" forName="text2" refType="b" refFor="ch" refForName="text1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614"/>
              <dgm:constr type="b" for="ch" forName="d2" refType="h" fact="0.72969"/>
              <dgm:constr type="w" for="ch" forName="d2" refType="w" fact="0.2387"/>
              <dgm:constr type="h" for="ch" forName="d2" refType="h" fact="0.4017"/>
              <dgm:constr type="w" for="ch" forName="circle3" refType="w" fact="0.6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21875"/>
              <dgm:constr type="l" for="ch" forName="text3"/>
              <dgm:constr type="t" for="ch" forName="text3" refType="b" refFor="ch" refForName="text2"/>
              <dgm:constr type="l" for="ch" forName="line3" refType="r" refFor="ch" refForName="text3"/>
              <dgm:constr type="ctrY" for="ch" forName="line3" refType="ctrY" refFor="ch" refForName="text3"/>
              <dgm:constr type="r" for="ch" forName="line3" refType="w" fact="0.375"/>
              <dgm:constr type="h" for="ch" forName="line3"/>
              <dgm:constr type="r" for="ch" forName="d3" refType="w" fact="0.52825"/>
              <dgm:constr type="b" for="ch" forName="d3" refType="h" fact="0.83375"/>
              <dgm:constr type="w" for="ch" forName="d3" refType="w" fact="0.1527"/>
              <dgm:constr type="h" for="ch" forName="d3" refType="h" fact="0.287"/>
            </dgm:constrLst>
          </dgm:if>
          <dgm:if name="Name16" axis="ch" ptType="node" func="cnt" op="equ" val="4">
            <dgm:constrLst>
              <dgm:constr type="primFontSz" for="des" ptType="node" op="equ" val="65"/>
              <dgm:constr type="w" for="ch" forName="circle1" refType="w" fact="0.0857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17938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05"/>
              <dgm:constr type="b" for="ch" forName="d1" refType="h" fact="0.62"/>
              <dgm:constr type="w" for="ch" forName="d1" refType="w" fact="0.33"/>
              <dgm:constr type="h" for="ch" forName="d1" refType="h" fact="0.53"/>
              <dgm:constr type="w" for="ch" forName="circle2" refType="w" fact="0.2571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17938"/>
              <dgm:constr type="l" for="ch" forName="text2"/>
              <dgm:constr type="t" for="ch" forName="text2" refType="b" refFor="ch" refForName="text1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63375"/>
              <dgm:constr type="b" for="ch" forName="d2" refType="h" fact="0.70438"/>
              <dgm:constr type="w" for="ch" forName="d2" refType="w" fact="0.2585"/>
              <dgm:constr type="h" for="ch" forName="d2" refType="h" fact="0.43525"/>
              <dgm:constr type="w" for="ch" forName="circle3" refType="w" fact="0.4285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7938"/>
              <dgm:constr type="l" for="ch" forName="text3"/>
              <dgm:constr type="t" for="ch" forName="text3" refType="b" refFor="ch" refForName="text2"/>
              <dgm:constr type="l" for="ch" forName="line3" refType="r" refFor="ch" refForName="text3"/>
              <dgm:constr type="ctrY" for="ch" forName="line3" refType="ctrY" refFor="ch" refForName="text3"/>
              <dgm:constr type="r" for="ch" forName="line3" refType="w" fact="0.375"/>
              <dgm:constr type="h" for="ch" forName="line3"/>
              <dgm:constr type="r" for="ch" forName="d3" refType="w" fact="0.5745"/>
              <dgm:constr type="b" for="ch" forName="d3" refType="h" fact="0.78031"/>
              <dgm:constr type="w" for="ch" forName="d3" refType="w" fact="0.1995"/>
              <dgm:constr type="h" for="ch" forName="d3" refType="h" fact="0.332"/>
              <dgm:constr type="w" for="ch" forName="circle4" refType="w" fact="0.6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7938"/>
              <dgm:constr type="l" for="ch" forName="text4"/>
              <dgm:constr type="t" for="ch" forName="text4" refType="b" refFor="ch" refForName="text3"/>
              <dgm:constr type="l" for="ch" forName="line4" refType="r" refFor="ch" refForName="text4"/>
              <dgm:constr type="ctrY" for="ch" forName="line4" refType="ctrY" refFor="ch" refForName="text4"/>
              <dgm:constr type="r" for="ch" forName="line4" refType="w" fact="0.375"/>
              <dgm:constr type="h" for="ch" forName="line4"/>
              <dgm:constr type="r" for="ch" forName="d4" refType="w" fact="0.51475"/>
              <dgm:constr type="b" for="ch" forName="d4" refType="h" fact="0.85594"/>
              <dgm:constr type="w" for="ch" forName="d4" refType="w" fact="0.1394"/>
              <dgm:constr type="h" for="ch" forName="d4" refType="h" fact="0.2282"/>
            </dgm:constrLst>
          </dgm:if>
          <dgm:if name="Name17" axis="ch" ptType="node" func="cnt" op="gte" val="5">
            <dgm:constrLst>
              <dgm:constr type="primFontSz" for="des" ptType="node" op="equ" val="65"/>
              <dgm:constr type="w" for="ch" forName="circle1" refType="w" fact="0.0667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1324"/>
              <dgm:constr type="l" for="ch" forName="text1"/>
              <dgm:constr type="ctrY" for="ch" forName="text1" refType="h" fact="0.13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5"/>
              <dgm:constr type="h" for="ch" forName="d1" refType="h" fact="0.495"/>
              <dgm:constr type="w" for="ch" forName="circle2" refType="w" fact="0.2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1324"/>
              <dgm:constr type="l" for="ch" forName="text2"/>
              <dgm:constr type="ctrY" for="ch" forName="text2" refType="h" fact="0.27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6502"/>
              <dgm:constr type="b" for="ch" forName="d2" refType="h" fact="0.682"/>
              <dgm:constr type="w" for="ch" forName="d2" refType="w" fact="0.275"/>
              <dgm:constr type="h" for="ch" forName="d2" refType="h" fact="0.41215"/>
              <dgm:constr type="w" for="ch" forName="circle3" refType="w" fact="0.3334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324"/>
              <dgm:constr type="l" for="ch" forName="text3"/>
              <dgm:constr type="ctrY" for="ch" forName="text3" refType="h" fact="0.41"/>
              <dgm:constr type="l" for="ch" forName="line3" refType="r" refFor="ch" refForName="text3"/>
              <dgm:constr type="ctrY" for="ch" forName="line3" refType="ctrY" refFor="ch" refForName="text3"/>
              <dgm:constr type="r" for="ch" forName="line3" refType="w" fact="0.375"/>
              <dgm:constr type="h" for="ch" forName="line3"/>
              <dgm:constr type="r" for="ch" forName="d3" refType="w" fact="0.606"/>
              <dgm:constr type="b" for="ch" forName="d3" refType="h" fact="0.735"/>
              <dgm:constr type="w" for="ch" forName="d3" refType="w" fact="0.231"/>
              <dgm:constr type="h" for="ch" forName="d3" refType="h" fact="0.325"/>
              <dgm:constr type="w" for="ch" forName="circle4" refType="w" fact="0.4667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324"/>
              <dgm:constr type="l" for="ch" forName="text4"/>
              <dgm:constr type="ctrY" for="ch" forName="text4" refType="h" fact="0.547"/>
              <dgm:constr type="l" for="ch" forName="line4" refType="r" refFor="ch" refForName="text4"/>
              <dgm:constr type="ctrY" for="ch" forName="line4" refType="ctrY" refFor="ch" refForName="text4"/>
              <dgm:constr type="r" for="ch" forName="line4" refType="w" fact="0.375"/>
              <dgm:constr type="h" for="ch" forName="line4"/>
              <dgm:constr type="r" for="ch" forName="d4" refType="w" fact="0.554"/>
              <dgm:constr type="b" for="ch" forName="d4" refType="h" fact="0.795"/>
              <dgm:constr type="w" for="ch" forName="d4" refType="w" fact="0.179"/>
              <dgm:constr type="h" for="ch" forName="d4" refType="h" fact="0.248"/>
              <dgm:constr type="w" for="ch" forName="circle5" refType="w" fact="0.6"/>
              <dgm:constr type="h" for="ch" forName="circle5" refType="w" refFor="ch" refForName="circle5"/>
              <dgm:constr type="ctrX" for="ch" forName="circle5" refType="ctrX" refFor="ch" refForName="circle1"/>
              <dgm:constr type="ctrY" for="ch" forName="circle5" refType="ctrY" refFor="ch" refForName="circle1"/>
              <dgm:constr type="w" for="ch" forName="text5" refType="w" fact="0.3"/>
              <dgm:constr type="h" for="ch" forName="text5" refType="h" fact="0.1324"/>
              <dgm:constr type="l" for="ch" forName="text5"/>
              <dgm:constr type="ctrY" for="ch" forName="text5" refType="h" fact="0.68"/>
              <dgm:constr type="l" for="ch" forName="line5" refType="r" refFor="ch" refForName="text5"/>
              <dgm:constr type="ctrY" for="ch" forName="line5" refType="ctrY" refFor="ch" refForName="text5"/>
              <dgm:constr type="r" for="ch" forName="line5" refType="w" fact="0.375"/>
              <dgm:constr type="h" for="ch" forName="line5"/>
              <dgm:constr type="r" for="ch" forName="d5" refType="w" fact="0.505"/>
              <dgm:constr type="b" for="ch" forName="d5" refType="h" fact="0.855"/>
              <dgm:constr type="w" for="ch" forName="d5" refType="w" fact="0.13"/>
              <dgm:constr type="h" for="ch" forName="d5" refType="h" fact="0.175"/>
            </dgm:constrLst>
          </dgm:if>
          <dgm:else name="Name18"/>
        </dgm:choose>
      </dgm:else>
    </dgm:choose>
    <dgm:ruleLst/>
    <dgm:forEach name="Name19" axis="ch" ptType="node" cnt="1">
      <dgm:layoutNode name="circle1" styleLbl="l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text1" styleLbl="revTx">
        <dgm:varLst>
          <dgm:bulletEnabled val="1"/>
        </dgm:varLst>
        <dgm:choose name="Name20">
          <dgm:if name="Name21" func="var" arg="dir" op="equ" val="norm">
            <dgm:choose name="Name22">
              <dgm:if name="Name23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24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25">
            <dgm:choose name="Name26">
              <dgm:if name="Name27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28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29">
          <dgm:if name="Name30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31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1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1" styleLbl="callout">
        <dgm:alg type="sp"/>
        <dgm:choose name="Name32">
          <dgm:if name="Name33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34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35" axis="ch" ptType="node" st="2" cnt="1">
      <dgm:layoutNode name="circle2" styleLbl="lnNode1">
        <dgm:alg type="sp"/>
        <dgm:shape xmlns:r="http://schemas.openxmlformats.org/officeDocument/2006/relationships" type="ellipse" r:blip="" zOrderOff="-5">
          <dgm:adjLst/>
        </dgm:shape>
        <dgm:presOf/>
        <dgm:constrLst/>
        <dgm:ruleLst/>
      </dgm:layoutNode>
      <dgm:layoutNode name="text2" styleLbl="revTx">
        <dgm:varLst>
          <dgm:bulletEnabled val="1"/>
        </dgm:varLst>
        <dgm:choose name="Name36">
          <dgm:if name="Name37" func="var" arg="dir" op="equ" val="norm">
            <dgm:choose name="Name38">
              <dgm:if name="Name39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40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41">
            <dgm:choose name="Name42">
              <dgm:if name="Name43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44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45">
          <dgm:if name="Name46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47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2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2" styleLbl="callout">
        <dgm:alg type="sp"/>
        <dgm:choose name="Name48">
          <dgm:if name="Name49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50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51" axis="ch" ptType="node" st="3" cnt="1">
      <dgm:layoutNode name="circle3" styleLbl="lnNode1">
        <dgm:alg type="sp"/>
        <dgm:shape xmlns:r="http://schemas.openxmlformats.org/officeDocument/2006/relationships" type="ellipse" r:blip="" zOrderOff="-10">
          <dgm:adjLst/>
        </dgm:shape>
        <dgm:presOf/>
        <dgm:constrLst/>
        <dgm:ruleLst/>
      </dgm:layoutNode>
      <dgm:layoutNode name="text3" styleLbl="revTx">
        <dgm:varLst>
          <dgm:bulletEnabled val="1"/>
        </dgm:varLst>
        <dgm:choose name="Name52">
          <dgm:if name="Name53" func="var" arg="dir" op="equ" val="norm">
            <dgm:choose name="Name54">
              <dgm:if name="Name55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56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57">
            <dgm:choose name="Name58">
              <dgm:if name="Name59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60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61">
          <dgm:if name="Name62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63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3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3" styleLbl="callout">
        <dgm:alg type="sp"/>
        <dgm:choose name="Name64">
          <dgm:if name="Name65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66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67" axis="ch" ptType="node" st="4" cnt="1">
      <dgm:layoutNode name="circle4" styleLbl="lnNode1">
        <dgm:alg type="sp"/>
        <dgm:shape xmlns:r="http://schemas.openxmlformats.org/officeDocument/2006/relationships" type="ellipse" r:blip="" zOrderOff="-15">
          <dgm:adjLst/>
        </dgm:shape>
        <dgm:presOf/>
        <dgm:constrLst/>
        <dgm:ruleLst/>
      </dgm:layoutNode>
      <dgm:layoutNode name="text4" styleLbl="revTx">
        <dgm:varLst>
          <dgm:bulletEnabled val="1"/>
        </dgm:varLst>
        <dgm:choose name="Name68">
          <dgm:if name="Name69" func="var" arg="dir" op="equ" val="norm">
            <dgm:choose name="Name70">
              <dgm:if name="Name71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2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73">
            <dgm:choose name="Name74">
              <dgm:if name="Name75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6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77">
          <dgm:if name="Name78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79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4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4" styleLbl="callout">
        <dgm:alg type="sp"/>
        <dgm:choose name="Name80">
          <dgm:if name="Name81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82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83" axis="ch" ptType="node" st="5" cnt="1">
      <dgm:layoutNode name="circle5" styleLbl="lnNode1">
        <dgm:alg type="sp"/>
        <dgm:shape xmlns:r="http://schemas.openxmlformats.org/officeDocument/2006/relationships" type="ellipse" r:blip="" zOrderOff="-20">
          <dgm:adjLst/>
        </dgm:shape>
        <dgm:presOf/>
        <dgm:constrLst/>
        <dgm:ruleLst/>
      </dgm:layoutNode>
      <dgm:layoutNode name="text5" styleLbl="revTx">
        <dgm:varLst>
          <dgm:bulletEnabled val="1"/>
        </dgm:varLst>
        <dgm:choose name="Name84">
          <dgm:if name="Name85" func="var" arg="dir" op="equ" val="norm">
            <dgm:choose name="Name86">
              <dgm:if name="Name87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88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89">
            <dgm:choose name="Name90">
              <dgm:if name="Name91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92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93">
          <dgm:if name="Name94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95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5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5" styleLbl="callout">
        <dgm:alg type="sp"/>
        <dgm:choose name="Name96">
          <dgm:if name="Name97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98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TULIO TOVAR</cp:lastModifiedBy>
  <cp:revision>13</cp:revision>
  <cp:lastPrinted>2011-11-28T15:01:00Z</cp:lastPrinted>
  <dcterms:created xsi:type="dcterms:W3CDTF">2011-11-28T14:10:00Z</dcterms:created>
  <dcterms:modified xsi:type="dcterms:W3CDTF">2011-11-28T15:41:00Z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