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47" w:rsidRDefault="00643B18" w:rsidP="00D11089">
      <w:pPr>
        <w:jc w:val="both"/>
      </w:pPr>
      <w:r>
        <w:t>Presentamos un Glosario de Términos Económicos elaborado por FINANZAS GLOBALES,</w:t>
      </w:r>
      <w:bookmarkStart w:id="0" w:name="_GoBack"/>
      <w:bookmarkEnd w:id="0"/>
      <w:r>
        <w:t xml:space="preserve"> aliado estratégico de la ASOCIACIÓN COLOMBIANA DE CONSULTORES EMPRESARIALES “ASCONSUTORES”</w:t>
      </w:r>
      <w:r w:rsidR="00D11089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4"/>
        <w:gridCol w:w="6614"/>
      </w:tblGrid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>Inflación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>Aumento generalizado de los precios de una canasta de bienes y servicios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>IPC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>Indicador para medir la inflación y es la variación porcentual de una canasta de bienes y servicios ya definida y se hace de manera mensual, anual y año corrido. En Colombia los primeros 5 días de cada mes el DANE da la respectiva información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>Deflación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>Baja generalizada de los precios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 xml:space="preserve">Banco de la Republica 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>Organismo autónomo que rige la política monetaria, cambiaria y crediticia de un país. Su papel primordial es el control de la inflación a tasas bajas y estables que aseguren el crecimiento y la generación de empleo.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>Tasa de intervención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 xml:space="preserve">El la tasa definida por el banco central para los préstamos al sistema financiero y su rol en el manejo de la política monetaria de acuerdo a las condiciones del comportamiento de la inflación. La tasa es efectiva y su aplicación es diaria 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>Tasa Real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 xml:space="preserve">Es la diferencia entre la tasa de intervención y el deflactor del IPC. 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 xml:space="preserve">Tasa Interbancaria 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>Tasa de préstamos entre entidades del sistema financiero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>DTF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>Promedio de las tasas de captación del sistema financiero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 xml:space="preserve">Inflación objetivo por el banco de la republica 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>Tasa de inflación objetivo definida por el Banco de la Republica entre un rango superior y rango inferior. La inflación meta es el promedio y su desviación acerca los extremos.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 xml:space="preserve">TRM 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>Tasa promedio de la tasa de cambio en Colombia frente al dólar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>Inflación básica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>O también llamada inflación sub yacente que es la tiene en cuenta el banco central para observar el comportamiento y excluye los grupos más volátiles como alimentos y combustibles.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 xml:space="preserve">Demanda 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>Cantidad de bienes y servicios que pueden ser adquiridos por el consumidor.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 xml:space="preserve">Oferta 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 xml:space="preserve">Cantidad de bienes y servicios que el mercado está dispuesto a vender 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>FED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>Reserva Federal delos Estados Unidos quien rige la política monetaria, cambiaria y crediticia. Su papel central es fomentar la creación del empleo.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>Encaje bancario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>Política por parte del banco central para aumentar o disminuir liquidez al mercado. En presiones inflacionarias se fomenta el aumento del encaje y para inyectar liquidez de reduce el encaje. El porcentaje asignado como encaje  se direcciona al Banco central como  reserva de los usuarios del sistema financiero</w:t>
            </w:r>
          </w:p>
        </w:tc>
      </w:tr>
      <w:tr w:rsidR="00D11089" w:rsidTr="00D11089">
        <w:tc>
          <w:tcPr>
            <w:tcW w:w="2235" w:type="dxa"/>
          </w:tcPr>
          <w:p w:rsidR="00D11089" w:rsidRDefault="00D11089" w:rsidP="00D11089">
            <w:pPr>
              <w:jc w:val="both"/>
            </w:pPr>
            <w:r>
              <w:t>Regla fiscal</w:t>
            </w:r>
          </w:p>
        </w:tc>
        <w:tc>
          <w:tcPr>
            <w:tcW w:w="6743" w:type="dxa"/>
          </w:tcPr>
          <w:p w:rsidR="00D11089" w:rsidRDefault="00D11089" w:rsidP="00D11089">
            <w:pPr>
              <w:jc w:val="both"/>
            </w:pPr>
            <w:r>
              <w:t>En economías emergentes que dependen del sector minero – energético y su participación del PIB es relevante puede ocasionar riesgos de equilibrio fiscal en la medida que se hagan proyecciones de un sector que depende de muchas variables exógenas y a su vez mengua el sector real</w:t>
            </w:r>
          </w:p>
        </w:tc>
      </w:tr>
    </w:tbl>
    <w:p w:rsidR="00D11089" w:rsidRDefault="00D11089" w:rsidP="00D11089">
      <w:pPr>
        <w:jc w:val="both"/>
      </w:pPr>
    </w:p>
    <w:sectPr w:rsidR="00D11089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42" w:rsidRDefault="00D66642" w:rsidP="00D11089">
      <w:pPr>
        <w:spacing w:after="0" w:line="240" w:lineRule="auto"/>
      </w:pPr>
      <w:r>
        <w:separator/>
      </w:r>
    </w:p>
  </w:endnote>
  <w:endnote w:type="continuationSeparator" w:id="0">
    <w:p w:rsidR="00D66642" w:rsidRDefault="00D66642" w:rsidP="00D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42" w:rsidRDefault="00D66642" w:rsidP="00D11089">
      <w:pPr>
        <w:spacing w:after="0" w:line="240" w:lineRule="auto"/>
      </w:pPr>
      <w:r>
        <w:separator/>
      </w:r>
    </w:p>
  </w:footnote>
  <w:footnote w:type="continuationSeparator" w:id="0">
    <w:p w:rsidR="00D66642" w:rsidRDefault="00D66642" w:rsidP="00D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89" w:rsidRDefault="00D6664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94496" o:spid="_x0000_s2050" type="#_x0000_t136" style="position:absolute;margin-left:0;margin-top:0;width:506.2pt;height:11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nzas Glob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89" w:rsidRPr="00D11089" w:rsidRDefault="00D11089" w:rsidP="00D11089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Cs w:val="32"/>
      </w:rPr>
    </w:pPr>
    <w:r>
      <w:rPr>
        <w:rFonts w:asciiTheme="majorHAnsi" w:eastAsiaTheme="majorEastAsia" w:hAnsiTheme="majorHAnsi" w:cstheme="majorBidi"/>
        <w:noProof/>
        <w:szCs w:val="32"/>
        <w:lang w:eastAsia="es-CO"/>
      </w:rPr>
      <w:drawing>
        <wp:inline distT="0" distB="0" distL="0" distR="0">
          <wp:extent cx="1047750" cy="549725"/>
          <wp:effectExtent l="0" t="0" r="0" b="317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inanzas-glob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13" cy="55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Cs w:val="32"/>
      </w:rPr>
      <w:tab/>
    </w:r>
    <w:sdt>
      <w:sdtPr>
        <w:rPr>
          <w:rFonts w:asciiTheme="majorHAnsi" w:eastAsiaTheme="majorEastAsia" w:hAnsiTheme="majorHAnsi" w:cstheme="majorBidi"/>
          <w:szCs w:val="32"/>
        </w:rPr>
        <w:alias w:val="Título"/>
        <w:id w:val="77738743"/>
        <w:placeholder>
          <w:docPart w:val="8EADF1066B324C178B3F457DC012BDE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43B18">
          <w:rPr>
            <w:rFonts w:asciiTheme="majorHAnsi" w:eastAsiaTheme="majorEastAsia" w:hAnsiTheme="majorHAnsi" w:cstheme="majorBidi"/>
            <w:szCs w:val="32"/>
          </w:rPr>
          <w:t>Glosario – Coyuntura Económica</w:t>
        </w:r>
      </w:sdtContent>
    </w:sdt>
    <w:r>
      <w:rPr>
        <w:rFonts w:asciiTheme="majorHAnsi" w:eastAsiaTheme="majorEastAsia" w:hAnsiTheme="majorHAnsi" w:cstheme="majorBidi"/>
        <w:szCs w:val="32"/>
      </w:rPr>
      <w:tab/>
    </w:r>
  </w:p>
  <w:p w:rsidR="00D11089" w:rsidRDefault="00D6664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94497" o:spid="_x0000_s2051" type="#_x0000_t136" style="position:absolute;margin-left:0;margin-top:0;width:506.2pt;height:11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nzas Glob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89" w:rsidRDefault="00D6664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94495" o:spid="_x0000_s2049" type="#_x0000_t136" style="position:absolute;margin-left:0;margin-top:0;width:506.2pt;height:11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nzas Global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F1"/>
    <w:rsid w:val="000126A0"/>
    <w:rsid w:val="000160AF"/>
    <w:rsid w:val="00024503"/>
    <w:rsid w:val="00033431"/>
    <w:rsid w:val="00036C0E"/>
    <w:rsid w:val="00043705"/>
    <w:rsid w:val="00051E25"/>
    <w:rsid w:val="00061ECA"/>
    <w:rsid w:val="000672F4"/>
    <w:rsid w:val="0007378A"/>
    <w:rsid w:val="00073D5B"/>
    <w:rsid w:val="000758B6"/>
    <w:rsid w:val="000814C0"/>
    <w:rsid w:val="00093651"/>
    <w:rsid w:val="000A1636"/>
    <w:rsid w:val="000A3D48"/>
    <w:rsid w:val="000A517E"/>
    <w:rsid w:val="000A6F05"/>
    <w:rsid w:val="000A7007"/>
    <w:rsid w:val="000B1553"/>
    <w:rsid w:val="000B65F9"/>
    <w:rsid w:val="000C0BAB"/>
    <w:rsid w:val="000C17BB"/>
    <w:rsid w:val="000C7C12"/>
    <w:rsid w:val="000D2300"/>
    <w:rsid w:val="000F7477"/>
    <w:rsid w:val="001016F1"/>
    <w:rsid w:val="00114286"/>
    <w:rsid w:val="0011565E"/>
    <w:rsid w:val="0012160C"/>
    <w:rsid w:val="00127400"/>
    <w:rsid w:val="00133B3D"/>
    <w:rsid w:val="00135EC4"/>
    <w:rsid w:val="001404A9"/>
    <w:rsid w:val="00142A2D"/>
    <w:rsid w:val="001434A7"/>
    <w:rsid w:val="001442C7"/>
    <w:rsid w:val="00147FFA"/>
    <w:rsid w:val="00155A73"/>
    <w:rsid w:val="00176941"/>
    <w:rsid w:val="001813F7"/>
    <w:rsid w:val="0018277A"/>
    <w:rsid w:val="00187266"/>
    <w:rsid w:val="001934AD"/>
    <w:rsid w:val="00194253"/>
    <w:rsid w:val="001960D1"/>
    <w:rsid w:val="001A00C4"/>
    <w:rsid w:val="001A2056"/>
    <w:rsid w:val="001A3A99"/>
    <w:rsid w:val="001B1268"/>
    <w:rsid w:val="001B467C"/>
    <w:rsid w:val="001B586C"/>
    <w:rsid w:val="001B6550"/>
    <w:rsid w:val="001B6D3F"/>
    <w:rsid w:val="001D0D68"/>
    <w:rsid w:val="001E04BF"/>
    <w:rsid w:val="001F514B"/>
    <w:rsid w:val="001F756D"/>
    <w:rsid w:val="002054FB"/>
    <w:rsid w:val="00205DF1"/>
    <w:rsid w:val="002075BF"/>
    <w:rsid w:val="00210614"/>
    <w:rsid w:val="0021191C"/>
    <w:rsid w:val="00212B03"/>
    <w:rsid w:val="00217BEE"/>
    <w:rsid w:val="0023048B"/>
    <w:rsid w:val="0023492F"/>
    <w:rsid w:val="002357DC"/>
    <w:rsid w:val="0023673B"/>
    <w:rsid w:val="002373E5"/>
    <w:rsid w:val="00242B27"/>
    <w:rsid w:val="002452BF"/>
    <w:rsid w:val="00245D24"/>
    <w:rsid w:val="00245ECF"/>
    <w:rsid w:val="0024672C"/>
    <w:rsid w:val="00253673"/>
    <w:rsid w:val="00260C8E"/>
    <w:rsid w:val="0026590E"/>
    <w:rsid w:val="00274CF3"/>
    <w:rsid w:val="0027505B"/>
    <w:rsid w:val="002757AC"/>
    <w:rsid w:val="00284939"/>
    <w:rsid w:val="00292ED8"/>
    <w:rsid w:val="002942B1"/>
    <w:rsid w:val="002A021E"/>
    <w:rsid w:val="002A1ABA"/>
    <w:rsid w:val="002B55D3"/>
    <w:rsid w:val="002B7F36"/>
    <w:rsid w:val="002C0858"/>
    <w:rsid w:val="002C729B"/>
    <w:rsid w:val="002D43A7"/>
    <w:rsid w:val="002D6F75"/>
    <w:rsid w:val="002E0315"/>
    <w:rsid w:val="002F0288"/>
    <w:rsid w:val="002F2EB0"/>
    <w:rsid w:val="002F4A02"/>
    <w:rsid w:val="00307C00"/>
    <w:rsid w:val="00314725"/>
    <w:rsid w:val="0031539E"/>
    <w:rsid w:val="003154C9"/>
    <w:rsid w:val="00323780"/>
    <w:rsid w:val="00323920"/>
    <w:rsid w:val="003330E8"/>
    <w:rsid w:val="00340A0C"/>
    <w:rsid w:val="003421AB"/>
    <w:rsid w:val="00344B91"/>
    <w:rsid w:val="00352CC1"/>
    <w:rsid w:val="0036080B"/>
    <w:rsid w:val="0036283E"/>
    <w:rsid w:val="00364AD6"/>
    <w:rsid w:val="00367515"/>
    <w:rsid w:val="0036782F"/>
    <w:rsid w:val="00370837"/>
    <w:rsid w:val="00371065"/>
    <w:rsid w:val="00377385"/>
    <w:rsid w:val="003828C8"/>
    <w:rsid w:val="00384278"/>
    <w:rsid w:val="003903F1"/>
    <w:rsid w:val="0039103C"/>
    <w:rsid w:val="00391786"/>
    <w:rsid w:val="003919D3"/>
    <w:rsid w:val="003A0A86"/>
    <w:rsid w:val="003A38C8"/>
    <w:rsid w:val="003B31EE"/>
    <w:rsid w:val="003B6358"/>
    <w:rsid w:val="003C7B13"/>
    <w:rsid w:val="003D1A57"/>
    <w:rsid w:val="003D26C5"/>
    <w:rsid w:val="003D2A6A"/>
    <w:rsid w:val="003D356A"/>
    <w:rsid w:val="003D6F4A"/>
    <w:rsid w:val="003E1A12"/>
    <w:rsid w:val="003E1A3E"/>
    <w:rsid w:val="003E1E84"/>
    <w:rsid w:val="003E31A5"/>
    <w:rsid w:val="003F196E"/>
    <w:rsid w:val="003F1F53"/>
    <w:rsid w:val="003F684E"/>
    <w:rsid w:val="00401F9C"/>
    <w:rsid w:val="00402E6E"/>
    <w:rsid w:val="00402F40"/>
    <w:rsid w:val="00404AD1"/>
    <w:rsid w:val="00406EAA"/>
    <w:rsid w:val="004071D8"/>
    <w:rsid w:val="00411014"/>
    <w:rsid w:val="0042242D"/>
    <w:rsid w:val="00425E54"/>
    <w:rsid w:val="00427FB4"/>
    <w:rsid w:val="00431AB1"/>
    <w:rsid w:val="0043249F"/>
    <w:rsid w:val="004326BE"/>
    <w:rsid w:val="00435929"/>
    <w:rsid w:val="0044175E"/>
    <w:rsid w:val="00442FB6"/>
    <w:rsid w:val="00450B6C"/>
    <w:rsid w:val="0045155D"/>
    <w:rsid w:val="00454D75"/>
    <w:rsid w:val="004568F0"/>
    <w:rsid w:val="0045792D"/>
    <w:rsid w:val="00464D3F"/>
    <w:rsid w:val="00467B8B"/>
    <w:rsid w:val="00474751"/>
    <w:rsid w:val="00476E48"/>
    <w:rsid w:val="004806E2"/>
    <w:rsid w:val="00483AFE"/>
    <w:rsid w:val="0048786A"/>
    <w:rsid w:val="00491EAF"/>
    <w:rsid w:val="004942C2"/>
    <w:rsid w:val="004A0325"/>
    <w:rsid w:val="004A27D3"/>
    <w:rsid w:val="004A4E69"/>
    <w:rsid w:val="004B197A"/>
    <w:rsid w:val="004B1E8D"/>
    <w:rsid w:val="004D54AB"/>
    <w:rsid w:val="004D5505"/>
    <w:rsid w:val="004E1888"/>
    <w:rsid w:val="004E4B6F"/>
    <w:rsid w:val="004F5947"/>
    <w:rsid w:val="004F6B83"/>
    <w:rsid w:val="0050119D"/>
    <w:rsid w:val="00503AE9"/>
    <w:rsid w:val="005047F1"/>
    <w:rsid w:val="00506E86"/>
    <w:rsid w:val="00516BF1"/>
    <w:rsid w:val="00533506"/>
    <w:rsid w:val="0055517C"/>
    <w:rsid w:val="0056019E"/>
    <w:rsid w:val="00562454"/>
    <w:rsid w:val="005731F3"/>
    <w:rsid w:val="0057328C"/>
    <w:rsid w:val="0057756C"/>
    <w:rsid w:val="0057790F"/>
    <w:rsid w:val="00577AAA"/>
    <w:rsid w:val="0058066B"/>
    <w:rsid w:val="00581A3B"/>
    <w:rsid w:val="0059114A"/>
    <w:rsid w:val="005951BF"/>
    <w:rsid w:val="0059611B"/>
    <w:rsid w:val="005A2D0B"/>
    <w:rsid w:val="005A2F06"/>
    <w:rsid w:val="005A36E3"/>
    <w:rsid w:val="005A588E"/>
    <w:rsid w:val="005B30FC"/>
    <w:rsid w:val="005B3F85"/>
    <w:rsid w:val="005B73A2"/>
    <w:rsid w:val="005D2183"/>
    <w:rsid w:val="005D47A3"/>
    <w:rsid w:val="005D6C58"/>
    <w:rsid w:val="005E0104"/>
    <w:rsid w:val="005E1672"/>
    <w:rsid w:val="005E1A71"/>
    <w:rsid w:val="005E5BAC"/>
    <w:rsid w:val="005E5C0C"/>
    <w:rsid w:val="005F23BC"/>
    <w:rsid w:val="005F2938"/>
    <w:rsid w:val="005F3DFB"/>
    <w:rsid w:val="00601E4F"/>
    <w:rsid w:val="00605499"/>
    <w:rsid w:val="006100B9"/>
    <w:rsid w:val="00611F64"/>
    <w:rsid w:val="00612F25"/>
    <w:rsid w:val="00620DC9"/>
    <w:rsid w:val="00624331"/>
    <w:rsid w:val="006258D8"/>
    <w:rsid w:val="00627D38"/>
    <w:rsid w:val="00637C17"/>
    <w:rsid w:val="00640823"/>
    <w:rsid w:val="00643B18"/>
    <w:rsid w:val="00650C8D"/>
    <w:rsid w:val="006518E8"/>
    <w:rsid w:val="00655CC6"/>
    <w:rsid w:val="006631D4"/>
    <w:rsid w:val="00664892"/>
    <w:rsid w:val="00666FA6"/>
    <w:rsid w:val="00674BB0"/>
    <w:rsid w:val="00675505"/>
    <w:rsid w:val="006877DB"/>
    <w:rsid w:val="00690149"/>
    <w:rsid w:val="00691378"/>
    <w:rsid w:val="00692107"/>
    <w:rsid w:val="00692241"/>
    <w:rsid w:val="006962C6"/>
    <w:rsid w:val="006A180C"/>
    <w:rsid w:val="006A661C"/>
    <w:rsid w:val="006B3533"/>
    <w:rsid w:val="006B752E"/>
    <w:rsid w:val="006C23FC"/>
    <w:rsid w:val="006C4517"/>
    <w:rsid w:val="006D43C2"/>
    <w:rsid w:val="006D4A83"/>
    <w:rsid w:val="006D5421"/>
    <w:rsid w:val="006D71DF"/>
    <w:rsid w:val="006E018C"/>
    <w:rsid w:val="006E4A38"/>
    <w:rsid w:val="006F136E"/>
    <w:rsid w:val="006F18B2"/>
    <w:rsid w:val="006F664D"/>
    <w:rsid w:val="006F7B76"/>
    <w:rsid w:val="00700C92"/>
    <w:rsid w:val="00702155"/>
    <w:rsid w:val="00714399"/>
    <w:rsid w:val="007147FB"/>
    <w:rsid w:val="007226C2"/>
    <w:rsid w:val="00722B87"/>
    <w:rsid w:val="00724DB0"/>
    <w:rsid w:val="00725430"/>
    <w:rsid w:val="007260BE"/>
    <w:rsid w:val="0073666A"/>
    <w:rsid w:val="007400BF"/>
    <w:rsid w:val="007406F6"/>
    <w:rsid w:val="00740C6E"/>
    <w:rsid w:val="00744DA2"/>
    <w:rsid w:val="00746A8D"/>
    <w:rsid w:val="007506D8"/>
    <w:rsid w:val="00757A63"/>
    <w:rsid w:val="00761FAE"/>
    <w:rsid w:val="0076239F"/>
    <w:rsid w:val="00770BC2"/>
    <w:rsid w:val="00770F07"/>
    <w:rsid w:val="00773F87"/>
    <w:rsid w:val="00774CBF"/>
    <w:rsid w:val="00774DE1"/>
    <w:rsid w:val="0077544F"/>
    <w:rsid w:val="00777635"/>
    <w:rsid w:val="00777A58"/>
    <w:rsid w:val="00780CF1"/>
    <w:rsid w:val="00781F9E"/>
    <w:rsid w:val="007824C6"/>
    <w:rsid w:val="00783CCF"/>
    <w:rsid w:val="007848D9"/>
    <w:rsid w:val="00786ABB"/>
    <w:rsid w:val="00791983"/>
    <w:rsid w:val="007938BC"/>
    <w:rsid w:val="00794137"/>
    <w:rsid w:val="007A1818"/>
    <w:rsid w:val="007A3A0C"/>
    <w:rsid w:val="007A4A6B"/>
    <w:rsid w:val="007A4C27"/>
    <w:rsid w:val="007A5127"/>
    <w:rsid w:val="007A52B6"/>
    <w:rsid w:val="007A58FF"/>
    <w:rsid w:val="007B0D70"/>
    <w:rsid w:val="007B2775"/>
    <w:rsid w:val="007B5EBE"/>
    <w:rsid w:val="007C3D22"/>
    <w:rsid w:val="007D1CC5"/>
    <w:rsid w:val="007D1DC2"/>
    <w:rsid w:val="007D6EA8"/>
    <w:rsid w:val="007D7746"/>
    <w:rsid w:val="007E2999"/>
    <w:rsid w:val="007E5EB5"/>
    <w:rsid w:val="007E7B4C"/>
    <w:rsid w:val="007F08BF"/>
    <w:rsid w:val="007F2380"/>
    <w:rsid w:val="00800A50"/>
    <w:rsid w:val="00802184"/>
    <w:rsid w:val="008051EF"/>
    <w:rsid w:val="00806B8B"/>
    <w:rsid w:val="00807A2B"/>
    <w:rsid w:val="00807C6F"/>
    <w:rsid w:val="0081025C"/>
    <w:rsid w:val="00812FB0"/>
    <w:rsid w:val="00815E9F"/>
    <w:rsid w:val="0082324C"/>
    <w:rsid w:val="0082752C"/>
    <w:rsid w:val="00827E29"/>
    <w:rsid w:val="008331C9"/>
    <w:rsid w:val="008406D4"/>
    <w:rsid w:val="0084611C"/>
    <w:rsid w:val="00847F8E"/>
    <w:rsid w:val="00850846"/>
    <w:rsid w:val="00853C0E"/>
    <w:rsid w:val="0085719A"/>
    <w:rsid w:val="00857E2F"/>
    <w:rsid w:val="00864675"/>
    <w:rsid w:val="0087110D"/>
    <w:rsid w:val="00875463"/>
    <w:rsid w:val="00882BDD"/>
    <w:rsid w:val="00886125"/>
    <w:rsid w:val="00890602"/>
    <w:rsid w:val="00892F9B"/>
    <w:rsid w:val="00893E2B"/>
    <w:rsid w:val="00894130"/>
    <w:rsid w:val="008A285B"/>
    <w:rsid w:val="008A3524"/>
    <w:rsid w:val="008A3962"/>
    <w:rsid w:val="008A539D"/>
    <w:rsid w:val="008B2B81"/>
    <w:rsid w:val="008B4ABB"/>
    <w:rsid w:val="008B67CF"/>
    <w:rsid w:val="008C4406"/>
    <w:rsid w:val="008C5888"/>
    <w:rsid w:val="008C6094"/>
    <w:rsid w:val="008C7BEF"/>
    <w:rsid w:val="008D3C59"/>
    <w:rsid w:val="008E187D"/>
    <w:rsid w:val="008E7552"/>
    <w:rsid w:val="008E78CC"/>
    <w:rsid w:val="008F3882"/>
    <w:rsid w:val="008F3EB8"/>
    <w:rsid w:val="008F4775"/>
    <w:rsid w:val="008F6B25"/>
    <w:rsid w:val="008F7BE2"/>
    <w:rsid w:val="009012AB"/>
    <w:rsid w:val="00906FC6"/>
    <w:rsid w:val="009139E7"/>
    <w:rsid w:val="0091462F"/>
    <w:rsid w:val="00916B78"/>
    <w:rsid w:val="00920AC1"/>
    <w:rsid w:val="00922994"/>
    <w:rsid w:val="0092316F"/>
    <w:rsid w:val="0092463C"/>
    <w:rsid w:val="00924A35"/>
    <w:rsid w:val="009267F7"/>
    <w:rsid w:val="00926ABF"/>
    <w:rsid w:val="00927735"/>
    <w:rsid w:val="00930DF1"/>
    <w:rsid w:val="00933068"/>
    <w:rsid w:val="00936AF9"/>
    <w:rsid w:val="009458D4"/>
    <w:rsid w:val="00947BE3"/>
    <w:rsid w:val="00951451"/>
    <w:rsid w:val="00951BFF"/>
    <w:rsid w:val="00953343"/>
    <w:rsid w:val="009547E0"/>
    <w:rsid w:val="0096277C"/>
    <w:rsid w:val="0097177F"/>
    <w:rsid w:val="00985419"/>
    <w:rsid w:val="00985DC3"/>
    <w:rsid w:val="00986780"/>
    <w:rsid w:val="00990981"/>
    <w:rsid w:val="009916AA"/>
    <w:rsid w:val="00995F5C"/>
    <w:rsid w:val="009A65E2"/>
    <w:rsid w:val="009A671A"/>
    <w:rsid w:val="009A6922"/>
    <w:rsid w:val="009B3D37"/>
    <w:rsid w:val="009B4DDB"/>
    <w:rsid w:val="009B7DAE"/>
    <w:rsid w:val="009C2A4D"/>
    <w:rsid w:val="009D3C94"/>
    <w:rsid w:val="009D42CF"/>
    <w:rsid w:val="009D43E7"/>
    <w:rsid w:val="009D789E"/>
    <w:rsid w:val="009E00C4"/>
    <w:rsid w:val="009E0A1B"/>
    <w:rsid w:val="009E1C6F"/>
    <w:rsid w:val="009E632D"/>
    <w:rsid w:val="009E7DB6"/>
    <w:rsid w:val="009F0D14"/>
    <w:rsid w:val="009F0E41"/>
    <w:rsid w:val="009F5DF0"/>
    <w:rsid w:val="00A00DD2"/>
    <w:rsid w:val="00A10005"/>
    <w:rsid w:val="00A106BB"/>
    <w:rsid w:val="00A143C8"/>
    <w:rsid w:val="00A168FB"/>
    <w:rsid w:val="00A21C0E"/>
    <w:rsid w:val="00A30F70"/>
    <w:rsid w:val="00A33C35"/>
    <w:rsid w:val="00A359D1"/>
    <w:rsid w:val="00A36CF0"/>
    <w:rsid w:val="00A3764C"/>
    <w:rsid w:val="00A409BD"/>
    <w:rsid w:val="00A43477"/>
    <w:rsid w:val="00A5494D"/>
    <w:rsid w:val="00A60250"/>
    <w:rsid w:val="00A60646"/>
    <w:rsid w:val="00A764F1"/>
    <w:rsid w:val="00A80820"/>
    <w:rsid w:val="00A9543B"/>
    <w:rsid w:val="00AA7882"/>
    <w:rsid w:val="00AB37FA"/>
    <w:rsid w:val="00AB5BD6"/>
    <w:rsid w:val="00AC0B2B"/>
    <w:rsid w:val="00AD4590"/>
    <w:rsid w:val="00AD4CEF"/>
    <w:rsid w:val="00AD7E0E"/>
    <w:rsid w:val="00AE7F29"/>
    <w:rsid w:val="00B059D1"/>
    <w:rsid w:val="00B126A0"/>
    <w:rsid w:val="00B12EFB"/>
    <w:rsid w:val="00B137FE"/>
    <w:rsid w:val="00B13BA7"/>
    <w:rsid w:val="00B14F55"/>
    <w:rsid w:val="00B157D3"/>
    <w:rsid w:val="00B15DE1"/>
    <w:rsid w:val="00B2238E"/>
    <w:rsid w:val="00B225E4"/>
    <w:rsid w:val="00B23603"/>
    <w:rsid w:val="00B271BE"/>
    <w:rsid w:val="00B31357"/>
    <w:rsid w:val="00B3333A"/>
    <w:rsid w:val="00B33909"/>
    <w:rsid w:val="00B3397F"/>
    <w:rsid w:val="00B343B7"/>
    <w:rsid w:val="00B45FFD"/>
    <w:rsid w:val="00B50BE4"/>
    <w:rsid w:val="00B52C59"/>
    <w:rsid w:val="00B53D84"/>
    <w:rsid w:val="00B5739D"/>
    <w:rsid w:val="00B57EE2"/>
    <w:rsid w:val="00B612D8"/>
    <w:rsid w:val="00B61EAC"/>
    <w:rsid w:val="00B62034"/>
    <w:rsid w:val="00B71B39"/>
    <w:rsid w:val="00B77A8E"/>
    <w:rsid w:val="00B82A64"/>
    <w:rsid w:val="00B83361"/>
    <w:rsid w:val="00B961B8"/>
    <w:rsid w:val="00BA0C21"/>
    <w:rsid w:val="00BA56A2"/>
    <w:rsid w:val="00BA7179"/>
    <w:rsid w:val="00BA7289"/>
    <w:rsid w:val="00BA7A21"/>
    <w:rsid w:val="00BB1600"/>
    <w:rsid w:val="00BB3B85"/>
    <w:rsid w:val="00BC157C"/>
    <w:rsid w:val="00BC26F9"/>
    <w:rsid w:val="00BC4236"/>
    <w:rsid w:val="00BC454D"/>
    <w:rsid w:val="00BC7684"/>
    <w:rsid w:val="00BC79AC"/>
    <w:rsid w:val="00BC7C20"/>
    <w:rsid w:val="00BD2F09"/>
    <w:rsid w:val="00BE1CCB"/>
    <w:rsid w:val="00BE3DB9"/>
    <w:rsid w:val="00C0000E"/>
    <w:rsid w:val="00C01B27"/>
    <w:rsid w:val="00C21390"/>
    <w:rsid w:val="00C2753D"/>
    <w:rsid w:val="00C33449"/>
    <w:rsid w:val="00C4760A"/>
    <w:rsid w:val="00C47F57"/>
    <w:rsid w:val="00C539E3"/>
    <w:rsid w:val="00C569D5"/>
    <w:rsid w:val="00C716BB"/>
    <w:rsid w:val="00C71841"/>
    <w:rsid w:val="00C7271E"/>
    <w:rsid w:val="00C73AC0"/>
    <w:rsid w:val="00C83CFA"/>
    <w:rsid w:val="00C91B4C"/>
    <w:rsid w:val="00CA0947"/>
    <w:rsid w:val="00CA6715"/>
    <w:rsid w:val="00CB209D"/>
    <w:rsid w:val="00CB6285"/>
    <w:rsid w:val="00CC39E4"/>
    <w:rsid w:val="00CC79CE"/>
    <w:rsid w:val="00CD629F"/>
    <w:rsid w:val="00CD6416"/>
    <w:rsid w:val="00CD712E"/>
    <w:rsid w:val="00CE0771"/>
    <w:rsid w:val="00CE373A"/>
    <w:rsid w:val="00CE4AD0"/>
    <w:rsid w:val="00CF0100"/>
    <w:rsid w:val="00CF2C6C"/>
    <w:rsid w:val="00CF4EEA"/>
    <w:rsid w:val="00CF5CA7"/>
    <w:rsid w:val="00CF5F4E"/>
    <w:rsid w:val="00D00240"/>
    <w:rsid w:val="00D06FC7"/>
    <w:rsid w:val="00D11089"/>
    <w:rsid w:val="00D112B8"/>
    <w:rsid w:val="00D13CAA"/>
    <w:rsid w:val="00D14109"/>
    <w:rsid w:val="00D16060"/>
    <w:rsid w:val="00D22EC2"/>
    <w:rsid w:val="00D2570D"/>
    <w:rsid w:val="00D2775E"/>
    <w:rsid w:val="00D301E3"/>
    <w:rsid w:val="00D359EC"/>
    <w:rsid w:val="00D45C25"/>
    <w:rsid w:val="00D51AA4"/>
    <w:rsid w:val="00D52EDD"/>
    <w:rsid w:val="00D5511B"/>
    <w:rsid w:val="00D57F5F"/>
    <w:rsid w:val="00D6441E"/>
    <w:rsid w:val="00D659B9"/>
    <w:rsid w:val="00D66642"/>
    <w:rsid w:val="00D6671B"/>
    <w:rsid w:val="00D67198"/>
    <w:rsid w:val="00D672AB"/>
    <w:rsid w:val="00D756A2"/>
    <w:rsid w:val="00D75A1B"/>
    <w:rsid w:val="00D81B45"/>
    <w:rsid w:val="00D87211"/>
    <w:rsid w:val="00D97B66"/>
    <w:rsid w:val="00DA4684"/>
    <w:rsid w:val="00DA6056"/>
    <w:rsid w:val="00DA750D"/>
    <w:rsid w:val="00DB1A42"/>
    <w:rsid w:val="00DB31BC"/>
    <w:rsid w:val="00DC12A8"/>
    <w:rsid w:val="00DC16F4"/>
    <w:rsid w:val="00DC1B1E"/>
    <w:rsid w:val="00DD66AC"/>
    <w:rsid w:val="00DE0586"/>
    <w:rsid w:val="00DE1700"/>
    <w:rsid w:val="00DF1FE7"/>
    <w:rsid w:val="00DF28E3"/>
    <w:rsid w:val="00DF3FBF"/>
    <w:rsid w:val="00DF5B3D"/>
    <w:rsid w:val="00DF67A1"/>
    <w:rsid w:val="00E00077"/>
    <w:rsid w:val="00E023B2"/>
    <w:rsid w:val="00E037BB"/>
    <w:rsid w:val="00E1083B"/>
    <w:rsid w:val="00E108B3"/>
    <w:rsid w:val="00E13B4D"/>
    <w:rsid w:val="00E13DE3"/>
    <w:rsid w:val="00E244C6"/>
    <w:rsid w:val="00E2740E"/>
    <w:rsid w:val="00E31BBB"/>
    <w:rsid w:val="00E37F25"/>
    <w:rsid w:val="00E43C70"/>
    <w:rsid w:val="00E472AF"/>
    <w:rsid w:val="00E50994"/>
    <w:rsid w:val="00E50BFA"/>
    <w:rsid w:val="00E528E2"/>
    <w:rsid w:val="00E5455F"/>
    <w:rsid w:val="00E545D3"/>
    <w:rsid w:val="00E5731D"/>
    <w:rsid w:val="00E6003C"/>
    <w:rsid w:val="00E607D2"/>
    <w:rsid w:val="00E637E7"/>
    <w:rsid w:val="00E66619"/>
    <w:rsid w:val="00E71DAB"/>
    <w:rsid w:val="00E800B9"/>
    <w:rsid w:val="00E84A5F"/>
    <w:rsid w:val="00E871E7"/>
    <w:rsid w:val="00E9144A"/>
    <w:rsid w:val="00E95E48"/>
    <w:rsid w:val="00E9774E"/>
    <w:rsid w:val="00EA1301"/>
    <w:rsid w:val="00EA463A"/>
    <w:rsid w:val="00EA6027"/>
    <w:rsid w:val="00EA7A1F"/>
    <w:rsid w:val="00EB0D39"/>
    <w:rsid w:val="00EB44F6"/>
    <w:rsid w:val="00EB6849"/>
    <w:rsid w:val="00EC3B91"/>
    <w:rsid w:val="00EC6FFE"/>
    <w:rsid w:val="00ED3021"/>
    <w:rsid w:val="00ED55F3"/>
    <w:rsid w:val="00EE1D44"/>
    <w:rsid w:val="00EE2DB5"/>
    <w:rsid w:val="00EE30A1"/>
    <w:rsid w:val="00EE3B00"/>
    <w:rsid w:val="00EE4FA7"/>
    <w:rsid w:val="00EF6040"/>
    <w:rsid w:val="00F13AE4"/>
    <w:rsid w:val="00F20551"/>
    <w:rsid w:val="00F207E4"/>
    <w:rsid w:val="00F2102D"/>
    <w:rsid w:val="00F26C6F"/>
    <w:rsid w:val="00F26C8C"/>
    <w:rsid w:val="00F3160C"/>
    <w:rsid w:val="00F35F05"/>
    <w:rsid w:val="00F36E63"/>
    <w:rsid w:val="00F37AD2"/>
    <w:rsid w:val="00F45BDD"/>
    <w:rsid w:val="00F47751"/>
    <w:rsid w:val="00F530CD"/>
    <w:rsid w:val="00F60843"/>
    <w:rsid w:val="00F6465D"/>
    <w:rsid w:val="00F65401"/>
    <w:rsid w:val="00F70B9A"/>
    <w:rsid w:val="00F70F91"/>
    <w:rsid w:val="00F737FF"/>
    <w:rsid w:val="00F77875"/>
    <w:rsid w:val="00F91D49"/>
    <w:rsid w:val="00F95F68"/>
    <w:rsid w:val="00FA3C58"/>
    <w:rsid w:val="00FB1372"/>
    <w:rsid w:val="00FB45CF"/>
    <w:rsid w:val="00FB625B"/>
    <w:rsid w:val="00FC15F2"/>
    <w:rsid w:val="00FC4915"/>
    <w:rsid w:val="00FD0B68"/>
    <w:rsid w:val="00FD1559"/>
    <w:rsid w:val="00FD1BE2"/>
    <w:rsid w:val="00FE2372"/>
    <w:rsid w:val="00FE54F3"/>
    <w:rsid w:val="00FF1583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3E0202C-B613-409C-846C-61E37908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089"/>
  </w:style>
  <w:style w:type="paragraph" w:styleId="Piedepgina">
    <w:name w:val="footer"/>
    <w:basedOn w:val="Normal"/>
    <w:link w:val="PiedepginaCar"/>
    <w:uiPriority w:val="99"/>
    <w:unhideWhenUsed/>
    <w:rsid w:val="00D11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089"/>
  </w:style>
  <w:style w:type="paragraph" w:styleId="Textodeglobo">
    <w:name w:val="Balloon Text"/>
    <w:basedOn w:val="Normal"/>
    <w:link w:val="TextodegloboCar"/>
    <w:uiPriority w:val="99"/>
    <w:semiHidden/>
    <w:unhideWhenUsed/>
    <w:rsid w:val="00D1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ADF1066B324C178B3F457DC012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940D-9F4C-4D4D-97FB-2BA52FAD68C5}"/>
      </w:docPartPr>
      <w:docPartBody>
        <w:p w:rsidR="005D7C28" w:rsidRDefault="00752F98" w:rsidP="00752F98">
          <w:pPr>
            <w:pStyle w:val="8EADF1066B324C178B3F457DC012BDE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98"/>
    <w:rsid w:val="004C33C5"/>
    <w:rsid w:val="005D7C28"/>
    <w:rsid w:val="00752F98"/>
    <w:rsid w:val="00CA0D11"/>
    <w:rsid w:val="00D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EADF1066B324C178B3F457DC012BDEE">
    <w:name w:val="8EADF1066B324C178B3F457DC012BDEE"/>
    <w:rsid w:val="00752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Glosario – Coyuntura Económica </vt:lpstr>
    </vt:vector>
  </TitlesOfParts>
  <Company>Microsoft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Glosario – Coyuntura Económica</dc:title>
  <dc:subject/>
  <dc:creator>James</dc:creator>
  <cp:keywords/>
  <dc:description/>
  <cp:lastModifiedBy>Tulio Tovar Narváez</cp:lastModifiedBy>
  <cp:revision>3</cp:revision>
  <dcterms:created xsi:type="dcterms:W3CDTF">2014-11-19T15:49:00Z</dcterms:created>
  <dcterms:modified xsi:type="dcterms:W3CDTF">2014-11-19T15:50:00Z</dcterms:modified>
</cp:coreProperties>
</file>